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C8B58">
      <w:pPr>
        <w:pStyle w:val="18"/>
        <w:keepNext w:val="0"/>
        <w:keepLines w:val="0"/>
        <w:pageBreakBefore w:val="0"/>
        <w:widowControl w:val="0"/>
        <w:kinsoku/>
        <w:wordWrap/>
        <w:overflowPunct/>
        <w:topLinePunct w:val="0"/>
        <w:autoSpaceDE/>
        <w:autoSpaceDN/>
        <w:bidi w:val="0"/>
        <w:adjustRightInd/>
        <w:snapToGrid w:val="0"/>
        <w:spacing w:after="0" w:line="600" w:lineRule="exact"/>
        <w:jc w:val="center"/>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bCs/>
          <w:sz w:val="44"/>
          <w:szCs w:val="44"/>
        </w:rPr>
        <w:t>满洲里市2024度年基层农技推广体系改革与建设任务实施方案</w:t>
      </w:r>
    </w:p>
    <w:p w14:paraId="387D70EA">
      <w:pPr>
        <w:keepNext w:val="0"/>
        <w:keepLines w:val="0"/>
        <w:widowControl/>
        <w:suppressLineNumbers w:val="0"/>
        <w:jc w:val="left"/>
        <w:rPr>
          <w:rFonts w:ascii="宋体" w:hAnsi="宋体"/>
          <w:kern w:val="0"/>
          <w:sz w:val="24"/>
          <w:szCs w:val="24"/>
        </w:rPr>
      </w:pPr>
    </w:p>
    <w:p w14:paraId="0F1EC089">
      <w:pPr>
        <w:autoSpaceDE w:val="0"/>
        <w:spacing w:line="560" w:lineRule="exact"/>
        <w:ind w:firstLine="640" w:firstLineChars="200"/>
        <w:rPr>
          <w:rFonts w:eastAsia="黑体" w:cs="Times New Roman"/>
          <w:color w:val="000000"/>
          <w:sz w:val="32"/>
          <w:szCs w:val="32"/>
        </w:rPr>
      </w:pPr>
      <w:r>
        <w:rPr>
          <w:rFonts w:ascii="黑体" w:hAnsi="黑体" w:eastAsia="黑体" w:cs="Times New Roman"/>
          <w:color w:val="000000"/>
          <w:sz w:val="32"/>
          <w:szCs w:val="32"/>
        </w:rPr>
        <w:t>一、总体</w:t>
      </w:r>
      <w:r>
        <w:rPr>
          <w:rFonts w:hint="eastAsia" w:ascii="黑体" w:hAnsi="黑体" w:eastAsia="黑体" w:cs="Times New Roman"/>
          <w:color w:val="000000"/>
          <w:sz w:val="32"/>
          <w:szCs w:val="32"/>
        </w:rPr>
        <w:t>要求</w:t>
      </w:r>
    </w:p>
    <w:p w14:paraId="26C1B777">
      <w:pPr>
        <w:keepNext w:val="0"/>
        <w:keepLines w:val="0"/>
        <w:widowControl/>
        <w:suppressLineNumbers w:val="0"/>
        <w:ind w:firstLine="640" w:firstLineChars="200"/>
        <w:jc w:val="left"/>
        <w:rPr>
          <w:rFonts w:hint="eastAsia" w:ascii="宋体" w:hAnsi="宋体" w:eastAsia="仿宋_GB2312"/>
          <w:kern w:val="0"/>
          <w:sz w:val="24"/>
          <w:szCs w:val="24"/>
          <w:u w:val="none"/>
          <w:lang w:val="en-US" w:eastAsia="zh-CN"/>
        </w:rPr>
      </w:pPr>
      <w:r>
        <w:rPr>
          <w:rFonts w:ascii="仿宋_GB2312" w:hAnsi="仿宋_GB2312" w:eastAsia="仿宋_GB2312" w:cs="Times New Roman"/>
          <w:color w:val="000000"/>
          <w:sz w:val="32"/>
          <w:szCs w:val="32"/>
        </w:rPr>
        <w:t>深入落实习近平总书记关于“基层农技推广体系要稳定队伍、提升素质、回归主业，强化公益性服务功能”重要指示，围绕保障粮食安全、粮油等主要作物单产提升和建设国家重要农畜产品生产基地任务，组织引导基层农技推广体系履行好促转化、推技术、做展示等公益性职能，强化基层农技推广体系条件建设</w:t>
      </w:r>
      <w:r>
        <w:rPr>
          <w:rFonts w:hint="eastAsia" w:ascii="仿宋_GB2312" w:hAnsi="仿宋_GB2312" w:eastAsia="仿宋_GB2312" w:cs="Times New Roman"/>
          <w:color w:val="000000"/>
          <w:sz w:val="32"/>
          <w:szCs w:val="32"/>
        </w:rPr>
        <w:t>。</w:t>
      </w:r>
      <w:r>
        <w:rPr>
          <w:rFonts w:ascii="仿宋_GB2312" w:hAnsi="仿宋_GB2312" w:eastAsia="仿宋_GB2312" w:cs="Times New Roman"/>
          <w:color w:val="000000"/>
          <w:sz w:val="32"/>
          <w:szCs w:val="32"/>
        </w:rPr>
        <w:t>引导支持农业科技社会化服务组织规范发展，创新技术推广服务方式方法，集成配套先进技术模式，推广高产优质品种和先进适用技术模式，提升农技推广服务效能</w:t>
      </w:r>
      <w:r>
        <w:rPr>
          <w:rFonts w:hint="eastAsia" w:ascii="仿宋_GB2312" w:hAnsi="仿宋_GB2312" w:eastAsia="仿宋_GB2312" w:cs="Times New Roman"/>
          <w:color w:val="000000"/>
          <w:sz w:val="32"/>
          <w:szCs w:val="32"/>
          <w:lang w:val="en-US" w:eastAsia="zh-CN"/>
        </w:rPr>
        <w:t>,</w:t>
      </w:r>
      <w:r>
        <w:rPr>
          <w:rFonts w:hint="eastAsia" w:ascii="仿宋_GB2312" w:hAnsi="仿宋_GB2312" w:eastAsia="仿宋_GB2312" w:cs="Times New Roman"/>
          <w:color w:val="000000"/>
          <w:sz w:val="32"/>
          <w:szCs w:val="32"/>
          <w:u w:val="none"/>
          <w:lang w:val="en-US" w:eastAsia="zh-CN"/>
        </w:rPr>
        <w:t>为全面推进乡村振兴、加快农业现代化提供科技支撑和人才保障。</w:t>
      </w:r>
    </w:p>
    <w:p w14:paraId="19CC458C">
      <w:pPr>
        <w:autoSpaceDE w:val="0"/>
        <w:spacing w:line="560" w:lineRule="exact"/>
        <w:ind w:firstLine="640" w:firstLineChars="200"/>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二</w:t>
      </w:r>
      <w:r>
        <w:rPr>
          <w:rFonts w:ascii="黑体" w:hAnsi="黑体" w:eastAsia="黑体" w:cs="Times New Roman"/>
          <w:color w:val="000000"/>
          <w:sz w:val="32"/>
          <w:szCs w:val="32"/>
        </w:rPr>
        <w:t>、年度目标</w:t>
      </w:r>
      <w:r>
        <w:rPr>
          <w:rFonts w:hint="eastAsia" w:ascii="黑体" w:hAnsi="黑体" w:eastAsia="黑体" w:cs="Times New Roman"/>
          <w:color w:val="000000"/>
          <w:sz w:val="32"/>
          <w:szCs w:val="32"/>
        </w:rPr>
        <w:t xml:space="preserve">  </w:t>
      </w:r>
    </w:p>
    <w:p w14:paraId="4139B6D8">
      <w:pPr>
        <w:keepNext w:val="0"/>
        <w:keepLines w:val="0"/>
        <w:widowControl/>
        <w:suppressLineNumbers w:val="0"/>
        <w:ind w:firstLine="640" w:firstLineChars="200"/>
        <w:jc w:val="left"/>
        <w:rPr>
          <w:rFonts w:ascii="仿宋_GB2312" w:hAnsi="仿宋_GB2312" w:eastAsia="仿宋_GB2312" w:cs="Times New Roman"/>
          <w:color w:val="000000"/>
          <w:sz w:val="32"/>
          <w:szCs w:val="32"/>
          <w:u w:val="none"/>
        </w:rPr>
      </w:pPr>
      <w:r>
        <w:rPr>
          <w:rFonts w:hint="eastAsia" w:ascii="仿宋_GB2312" w:hAnsi="仿宋_GB2312" w:eastAsia="仿宋_GB2312" w:cs="Times New Roman"/>
          <w:color w:val="000000"/>
          <w:sz w:val="32"/>
          <w:szCs w:val="32"/>
          <w:u w:val="none"/>
        </w:rPr>
        <w:t>基层农技推广体系改革与建设</w:t>
      </w:r>
      <w:r>
        <w:rPr>
          <w:rFonts w:ascii="仿宋_GB2312" w:hAnsi="仿宋_GB2312" w:eastAsia="仿宋_GB2312" w:cs="Times New Roman"/>
          <w:color w:val="000000"/>
          <w:sz w:val="32"/>
          <w:szCs w:val="32"/>
          <w:u w:val="none"/>
        </w:rPr>
        <w:t>补助项目实施时间为2024年5月-202</w:t>
      </w:r>
      <w:r>
        <w:rPr>
          <w:rFonts w:hint="eastAsia" w:cs="Times New Roman"/>
          <w:color w:val="000000"/>
          <w:sz w:val="32"/>
          <w:szCs w:val="32"/>
          <w:u w:val="none"/>
          <w:lang w:val="en-US" w:eastAsia="zh-CN"/>
        </w:rPr>
        <w:t>5</w:t>
      </w:r>
      <w:r>
        <w:rPr>
          <w:rFonts w:ascii="仿宋_GB2312" w:hAnsi="仿宋_GB2312" w:eastAsia="仿宋_GB2312" w:cs="Times New Roman"/>
          <w:color w:val="000000"/>
          <w:sz w:val="32"/>
          <w:szCs w:val="32"/>
          <w:u w:val="none"/>
        </w:rPr>
        <w:t xml:space="preserve">年6月。 </w:t>
      </w:r>
    </w:p>
    <w:p w14:paraId="4A429E2B">
      <w:pPr>
        <w:autoSpaceDE w:val="0"/>
        <w:spacing w:line="560" w:lineRule="exact"/>
        <w:ind w:firstLine="643"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b/>
          <w:bCs/>
          <w:color w:val="000000"/>
          <w:kern w:val="0"/>
          <w:sz w:val="32"/>
          <w:szCs w:val="32"/>
        </w:rPr>
        <w:t>（一）任务目标</w:t>
      </w:r>
    </w:p>
    <w:p w14:paraId="0B18C20D">
      <w:pPr>
        <w:keepNext w:val="0"/>
        <w:keepLines w:val="0"/>
        <w:widowControl/>
        <w:suppressLineNumbers w:val="0"/>
        <w:ind w:firstLine="640" w:firstLineChars="200"/>
        <w:jc w:val="left"/>
        <w:rPr>
          <w:rFonts w:hint="eastAsia" w:ascii="仿宋_GB2312" w:hAnsi="仿宋_GB2312" w:eastAsia="仿宋_GB2312" w:cs="Times New Roman"/>
          <w:color w:val="000000"/>
          <w:sz w:val="32"/>
          <w:szCs w:val="32"/>
        </w:rPr>
      </w:pPr>
      <w:r>
        <w:rPr>
          <w:rFonts w:hint="eastAsia" w:ascii="仿宋_GB2312" w:hAnsi="仿宋_GB2312" w:eastAsia="仿宋_GB2312" w:cs="Times New Roman"/>
          <w:color w:val="000000"/>
          <w:sz w:val="32"/>
          <w:szCs w:val="32"/>
        </w:rPr>
        <w:t>1.基层农技推广机构人员在岗率超过90%，每个基层农技人员指导服务农牧业科技示范主体不少于1个，对每个农牧业科技示范主体上门指导服务次数不少于5次，进村入户开展指导服务时间不少于100个工作日；农牧科技示范主体抽样满意度超过95%，农牧业技术推广公共服务对象抽样满意度超过70%。</w:t>
      </w:r>
    </w:p>
    <w:p w14:paraId="326BC412">
      <w:pPr>
        <w:keepNext w:val="0"/>
        <w:keepLines w:val="0"/>
        <w:widowControl/>
        <w:suppressLineNumbers w:val="0"/>
        <w:ind w:firstLine="640" w:firstLineChars="200"/>
        <w:jc w:val="left"/>
        <w:rPr>
          <w:rFonts w:hint="eastAsia" w:ascii="仿宋_GB2312" w:hAnsi="仿宋_GB2312" w:eastAsia="仿宋_GB2312" w:cs="Times New Roman"/>
          <w:color w:val="000000"/>
          <w:sz w:val="32"/>
          <w:szCs w:val="32"/>
        </w:rPr>
      </w:pPr>
      <w:r>
        <w:rPr>
          <w:rFonts w:hint="eastAsia" w:ascii="仿宋_GB2312" w:hAnsi="仿宋_GB2312" w:eastAsia="仿宋_GB2312" w:cs="Times New Roman"/>
          <w:color w:val="000000"/>
          <w:sz w:val="32"/>
          <w:szCs w:val="32"/>
        </w:rPr>
        <w:t>2.遴选、发布、推广</w:t>
      </w:r>
      <w:r>
        <w:rPr>
          <w:rFonts w:hint="eastAsia" w:ascii="仿宋_GB2312" w:hAnsi="仿宋_GB2312" w:eastAsia="仿宋_GB2312" w:cs="Times New Roman"/>
          <w:color w:val="000000"/>
          <w:sz w:val="32"/>
          <w:szCs w:val="32"/>
          <w:lang w:val="en-US" w:eastAsia="zh-CN"/>
        </w:rPr>
        <w:t>4</w:t>
      </w:r>
      <w:r>
        <w:rPr>
          <w:rFonts w:hint="eastAsia" w:ascii="仿宋_GB2312" w:hAnsi="仿宋_GB2312" w:eastAsia="仿宋_GB2312" w:cs="Times New Roman"/>
          <w:color w:val="000000"/>
          <w:sz w:val="32"/>
          <w:szCs w:val="32"/>
          <w:u w:val="none"/>
          <w:lang w:val="en-US" w:eastAsia="zh-CN"/>
        </w:rPr>
        <w:t>个</w:t>
      </w:r>
      <w:r>
        <w:rPr>
          <w:rFonts w:hint="eastAsia" w:ascii="仿宋_GB2312" w:hAnsi="仿宋_GB2312" w:eastAsia="仿宋_GB2312" w:cs="Times New Roman"/>
          <w:color w:val="000000"/>
          <w:sz w:val="32"/>
          <w:szCs w:val="32"/>
        </w:rPr>
        <w:t>符合我市主导特色产业发展需求，质量安全、节本增效、生态环保的优质绿色高效技术</w:t>
      </w:r>
      <w:r>
        <w:rPr>
          <w:rFonts w:hint="eastAsia" w:ascii="仿宋_GB2312" w:hAnsi="仿宋_GB2312" w:eastAsia="仿宋_GB2312" w:cs="Times New Roman"/>
          <w:color w:val="000000"/>
          <w:sz w:val="32"/>
          <w:szCs w:val="32"/>
          <w:lang w:eastAsia="zh-CN"/>
        </w:rPr>
        <w:t>。</w:t>
      </w:r>
      <w:r>
        <w:rPr>
          <w:rFonts w:hint="eastAsia" w:ascii="仿宋_GB2312" w:hAnsi="仿宋_GB2312" w:eastAsia="仿宋_GB2312" w:cs="Times New Roman"/>
          <w:color w:val="000000"/>
          <w:sz w:val="32"/>
          <w:szCs w:val="32"/>
        </w:rPr>
        <w:t>并广泛应用于农牧业生产，农牧业主推技术到位率超过95%。</w:t>
      </w:r>
    </w:p>
    <w:p w14:paraId="09598014">
      <w:pPr>
        <w:keepNext w:val="0"/>
        <w:keepLines w:val="0"/>
        <w:widowControl/>
        <w:suppressLineNumbers w:val="0"/>
        <w:ind w:firstLine="640" w:firstLineChars="200"/>
        <w:jc w:val="left"/>
        <w:rPr>
          <w:rFonts w:hint="eastAsia" w:ascii="仿宋_GB2312" w:hAnsi="仿宋_GB2312" w:eastAsia="仿宋_GB2312" w:cs="Times New Roman"/>
          <w:color w:val="000000"/>
          <w:sz w:val="32"/>
          <w:szCs w:val="32"/>
        </w:rPr>
      </w:pPr>
      <w:r>
        <w:rPr>
          <w:rFonts w:hint="eastAsia" w:ascii="仿宋_GB2312" w:hAnsi="仿宋_GB2312" w:eastAsia="仿宋_GB2312" w:cs="Times New Roman"/>
          <w:color w:val="000000"/>
          <w:sz w:val="32"/>
          <w:szCs w:val="32"/>
        </w:rPr>
        <w:t>3.继续建设</w:t>
      </w:r>
      <w:r>
        <w:rPr>
          <w:rFonts w:hint="eastAsia" w:ascii="仿宋_GB2312" w:hAnsi="仿宋_GB2312" w:eastAsia="仿宋_GB2312" w:cs="Times New Roman"/>
          <w:color w:val="000000"/>
          <w:sz w:val="32"/>
          <w:szCs w:val="32"/>
          <w:u w:val="none"/>
        </w:rPr>
        <w:t>打造1个长</w:t>
      </w:r>
      <w:r>
        <w:rPr>
          <w:rFonts w:hint="eastAsia" w:ascii="仿宋_GB2312" w:hAnsi="仿宋_GB2312" w:eastAsia="仿宋_GB2312" w:cs="Times New Roman"/>
          <w:color w:val="000000"/>
          <w:sz w:val="32"/>
          <w:szCs w:val="32"/>
        </w:rPr>
        <w:t>期稳定的农业科技示范基地，科技示范基地试验示范2项以上先进适用技术模式，开展5次以上观摩培训活动，使其成为集示范展示、技术指导、农牧民培训等多功能、综合性的农牧业技术示范服务平台。</w:t>
      </w:r>
    </w:p>
    <w:p w14:paraId="6778A699">
      <w:pPr>
        <w:keepNext w:val="0"/>
        <w:keepLines w:val="0"/>
        <w:widowControl/>
        <w:suppressLineNumbers w:val="0"/>
        <w:ind w:firstLine="640" w:firstLineChars="200"/>
        <w:jc w:val="left"/>
        <w:rPr>
          <w:rFonts w:hint="eastAsia" w:ascii="仿宋_GB2312" w:hAnsi="仿宋_GB2312" w:eastAsia="仿宋_GB2312" w:cs="Times New Roman"/>
          <w:color w:val="000000"/>
          <w:sz w:val="32"/>
          <w:szCs w:val="32"/>
        </w:rPr>
      </w:pPr>
      <w:r>
        <w:rPr>
          <w:rFonts w:hint="eastAsia" w:ascii="仿宋_GB2312" w:hAnsi="仿宋_GB2312" w:eastAsia="仿宋_GB2312" w:cs="Times New Roman"/>
          <w:color w:val="000000"/>
          <w:sz w:val="32"/>
          <w:szCs w:val="32"/>
        </w:rPr>
        <w:t>4.全市农技人员普遍应用信息化手段进行学习交流和业务指导，使用中国农技推广APP比例超过90%，农技人员通过信息化手段，开展农技推广服务的比例超过80%，补助项目实现技术服务网络化、推广服务信息化。</w:t>
      </w:r>
    </w:p>
    <w:p w14:paraId="7E24EFCC">
      <w:pPr>
        <w:keepNext w:val="0"/>
        <w:keepLines w:val="0"/>
        <w:widowControl/>
        <w:suppressLineNumbers w:val="0"/>
        <w:ind w:firstLine="640" w:firstLineChars="200"/>
        <w:jc w:val="left"/>
        <w:rPr>
          <w:rFonts w:hint="eastAsia" w:ascii="仿宋_GB2312" w:hAnsi="仿宋_GB2312" w:eastAsia="仿宋_GB2312" w:cs="Times New Roman"/>
          <w:color w:val="000000"/>
          <w:sz w:val="32"/>
          <w:szCs w:val="32"/>
        </w:rPr>
      </w:pPr>
      <w:r>
        <w:rPr>
          <w:rFonts w:hint="eastAsia" w:ascii="仿宋_GB2312" w:hAnsi="仿宋_GB2312" w:eastAsia="仿宋_GB2312" w:cs="Times New Roman"/>
          <w:color w:val="000000"/>
          <w:sz w:val="32"/>
          <w:szCs w:val="32"/>
        </w:rPr>
        <w:t>5.</w:t>
      </w:r>
      <w:r>
        <w:rPr>
          <w:rFonts w:hint="eastAsia" w:ascii="仿宋_GB2312" w:hAnsi="仿宋_GB2312" w:eastAsia="仿宋_GB2312" w:cs="Times New Roman"/>
          <w:color w:val="000000"/>
          <w:sz w:val="32"/>
          <w:szCs w:val="32"/>
          <w:lang w:eastAsia="zh-CN"/>
        </w:rPr>
        <w:t>全市</w:t>
      </w:r>
      <w:r>
        <w:rPr>
          <w:rFonts w:hint="eastAsia" w:ascii="仿宋_GB2312" w:hAnsi="仿宋_GB2312" w:eastAsia="仿宋_GB2312" w:cs="Times New Roman"/>
          <w:color w:val="000000"/>
          <w:sz w:val="32"/>
          <w:szCs w:val="32"/>
        </w:rPr>
        <w:t>在编在岗基层农技人员不少于 1/3 以上的农技人员接受5天以上脱产业务培训，其中异地培训（出旗县）人数不低于培训人员总数的60%，可以组织不超 1/10 的骨干班人员赴区外培训。</w:t>
      </w:r>
    </w:p>
    <w:p w14:paraId="4533581D">
      <w:pPr>
        <w:keepNext w:val="0"/>
        <w:keepLines w:val="0"/>
        <w:widowControl/>
        <w:suppressLineNumbers w:val="0"/>
        <w:ind w:firstLine="640" w:firstLineChars="200"/>
        <w:jc w:val="left"/>
        <w:rPr>
          <w:rFonts w:hint="eastAsia" w:ascii="仿宋_GB2312" w:hAnsi="仿宋_GB2312" w:eastAsia="仿宋_GB2312" w:cs="Times New Roman"/>
          <w:color w:val="000000"/>
          <w:sz w:val="32"/>
          <w:szCs w:val="32"/>
        </w:rPr>
      </w:pPr>
      <w:r>
        <w:rPr>
          <w:rFonts w:hint="eastAsia" w:ascii="仿宋_GB2312" w:hAnsi="仿宋_GB2312" w:eastAsia="仿宋_GB2312" w:cs="Times New Roman"/>
          <w:color w:val="000000"/>
          <w:sz w:val="32"/>
          <w:szCs w:val="32"/>
        </w:rPr>
        <w:t>6.继续实施特聘任务，特聘农牧业经验丰富的种养专家（土专家、田秀才、新型经营主体技术骨干）4人，开展农业技术经验的宣传推广，帮扶种养植户有效解决实际生产难题。</w:t>
      </w:r>
    </w:p>
    <w:p w14:paraId="3D7B8216">
      <w:pPr>
        <w:autoSpaceDE w:val="0"/>
        <w:spacing w:line="560" w:lineRule="exact"/>
        <w:ind w:firstLine="643" w:firstLineChars="200"/>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（二）资金分配</w:t>
      </w:r>
    </w:p>
    <w:p w14:paraId="05134E74">
      <w:pPr>
        <w:widowControl/>
        <w:ind w:firstLine="643" w:firstLineChars="200"/>
        <w:jc w:val="left"/>
        <w:rPr>
          <w:rFonts w:ascii="宋体" w:hAnsi="宋体"/>
          <w:kern w:val="0"/>
          <w:sz w:val="24"/>
          <w:szCs w:val="24"/>
        </w:rPr>
      </w:pPr>
      <w:r>
        <w:rPr>
          <w:rFonts w:hint="eastAsia" w:cs="Times New Roman"/>
          <w:b/>
          <w:bCs/>
          <w:color w:val="000000"/>
          <w:kern w:val="0"/>
          <w:sz w:val="32"/>
          <w:szCs w:val="32"/>
        </w:rPr>
        <w:t>1.</w:t>
      </w:r>
      <w:r>
        <w:rPr>
          <w:rFonts w:ascii="仿宋_GB2312" w:hAnsi="仿宋_GB2312"/>
          <w:b/>
          <w:bCs/>
          <w:color w:val="000000"/>
          <w:kern w:val="0"/>
          <w:sz w:val="32"/>
          <w:szCs w:val="32"/>
        </w:rPr>
        <w:t>农牧业技术推广服务补助。</w:t>
      </w:r>
      <w:r>
        <w:rPr>
          <w:rFonts w:hint="eastAsia" w:ascii="仿宋_GB2312" w:hAnsi="仿宋_GB2312" w:eastAsia="仿宋_GB2312" w:cs="Times New Roman"/>
          <w:color w:val="000000"/>
          <w:sz w:val="32"/>
          <w:szCs w:val="32"/>
        </w:rPr>
        <w:t>占总补助资金的30%。主要包括基层农牧业技术人员进村入户开展技术</w:t>
      </w:r>
      <w:r>
        <w:rPr>
          <w:rFonts w:hint="eastAsia" w:ascii="仿宋_GB2312" w:hAnsi="仿宋_GB2312" w:eastAsia="仿宋_GB2312" w:cs="Times New Roman"/>
          <w:color w:val="000000"/>
          <w:sz w:val="32"/>
          <w:szCs w:val="32"/>
          <w:lang w:eastAsia="zh-CN"/>
        </w:rPr>
        <w:t>推广</w:t>
      </w:r>
      <w:r>
        <w:rPr>
          <w:rFonts w:hint="eastAsia" w:ascii="仿宋_GB2312" w:hAnsi="仿宋_GB2312" w:eastAsia="仿宋_GB2312" w:cs="Times New Roman"/>
          <w:color w:val="000000"/>
          <w:sz w:val="32"/>
          <w:szCs w:val="32"/>
        </w:rPr>
        <w:t xml:space="preserve">服务补助，聘请专家团队，实施“特聘计划”，通过购买服务等方式，支持社会化服务组织开展农技推广，建设 “一主多元”农技推广体系。 </w:t>
      </w:r>
    </w:p>
    <w:p w14:paraId="6628F775">
      <w:pPr>
        <w:widowControl/>
        <w:ind w:firstLine="643" w:firstLineChars="200"/>
        <w:jc w:val="left"/>
        <w:rPr>
          <w:rFonts w:hint="eastAsia" w:ascii="仿宋_GB2312" w:hAnsi="仿宋_GB2312" w:eastAsia="仿宋_GB2312" w:cs="Times New Roman"/>
          <w:color w:val="000000"/>
          <w:sz w:val="32"/>
          <w:szCs w:val="32"/>
        </w:rPr>
      </w:pPr>
      <w:r>
        <w:rPr>
          <w:rFonts w:cs="Times New Roman"/>
          <w:b/>
          <w:bCs/>
          <w:color w:val="000000"/>
          <w:kern w:val="0"/>
          <w:sz w:val="32"/>
          <w:szCs w:val="32"/>
        </w:rPr>
        <w:t>2.</w:t>
      </w:r>
      <w:r>
        <w:rPr>
          <w:rFonts w:ascii="仿宋_GB2312" w:hAnsi="仿宋_GB2312"/>
          <w:b/>
          <w:bCs/>
          <w:color w:val="000000"/>
          <w:kern w:val="0"/>
          <w:sz w:val="32"/>
          <w:szCs w:val="32"/>
        </w:rPr>
        <w:t>科技展示条件能力补助。</w:t>
      </w:r>
      <w:r>
        <w:rPr>
          <w:rFonts w:hint="eastAsia" w:ascii="仿宋_GB2312" w:hAnsi="仿宋_GB2312" w:eastAsia="仿宋_GB2312" w:cs="Times New Roman"/>
          <w:color w:val="000000"/>
          <w:sz w:val="32"/>
          <w:szCs w:val="32"/>
        </w:rPr>
        <w:t>占总补助资金的45%。</w:t>
      </w:r>
      <w:r>
        <w:rPr>
          <w:rFonts w:hint="eastAsia" w:ascii="仿宋_GB2312" w:hAnsi="仿宋_GB2312" w:eastAsia="仿宋_GB2312" w:cs="Times New Roman"/>
          <w:color w:val="000000"/>
          <w:sz w:val="32"/>
          <w:szCs w:val="32"/>
          <w:u w:val="none"/>
        </w:rPr>
        <w:t>一是现代农业科技</w:t>
      </w:r>
      <w:r>
        <w:rPr>
          <w:rFonts w:hint="eastAsia" w:ascii="仿宋_GB2312" w:hAnsi="仿宋_GB2312" w:eastAsia="仿宋_GB2312" w:cs="Times New Roman"/>
          <w:color w:val="000000"/>
          <w:sz w:val="32"/>
          <w:szCs w:val="32"/>
          <w:u w:val="none"/>
          <w:lang w:eastAsia="zh-CN"/>
        </w:rPr>
        <w:t>示范基地</w:t>
      </w:r>
      <w:r>
        <w:rPr>
          <w:rFonts w:hint="eastAsia" w:ascii="仿宋_GB2312" w:hAnsi="仿宋_GB2312" w:eastAsia="仿宋_GB2312" w:cs="Times New Roman"/>
          <w:color w:val="000000"/>
          <w:sz w:val="32"/>
          <w:szCs w:val="32"/>
          <w:u w:val="none"/>
        </w:rPr>
        <w:t>建设补助。</w:t>
      </w:r>
      <w:r>
        <w:rPr>
          <w:rFonts w:hint="eastAsia" w:ascii="仿宋_GB2312" w:hAnsi="仿宋_GB2312" w:eastAsia="仿宋_GB2312" w:cs="Times New Roman"/>
          <w:color w:val="000000"/>
          <w:sz w:val="32"/>
          <w:szCs w:val="32"/>
        </w:rPr>
        <w:t xml:space="preserve">二是对农牧业科技展示主体推广应用新品种、新技术、新模式进行补助。三是采用信息化手段开展推广服务补助。 </w:t>
      </w:r>
    </w:p>
    <w:p w14:paraId="6460D007">
      <w:pPr>
        <w:widowControl/>
        <w:ind w:firstLine="643" w:firstLineChars="200"/>
        <w:jc w:val="left"/>
        <w:rPr>
          <w:rFonts w:hint="eastAsia" w:ascii="仿宋_GB2312" w:hAnsi="仿宋_GB2312" w:eastAsia="仿宋_GB2312" w:cs="Times New Roman"/>
          <w:color w:val="000000"/>
          <w:sz w:val="32"/>
          <w:szCs w:val="32"/>
        </w:rPr>
      </w:pPr>
      <w:r>
        <w:rPr>
          <w:rFonts w:cs="Times New Roman"/>
          <w:b/>
          <w:bCs/>
          <w:color w:val="000000"/>
          <w:kern w:val="0"/>
          <w:sz w:val="32"/>
          <w:szCs w:val="32"/>
        </w:rPr>
        <w:t>3.</w:t>
      </w:r>
      <w:r>
        <w:rPr>
          <w:rFonts w:ascii="仿宋_GB2312" w:hAnsi="仿宋_GB2312"/>
          <w:b/>
          <w:bCs/>
          <w:color w:val="000000"/>
          <w:kern w:val="0"/>
          <w:sz w:val="32"/>
          <w:szCs w:val="32"/>
        </w:rPr>
        <w:t>技术人员能力提升补助。</w:t>
      </w:r>
      <w:r>
        <w:rPr>
          <w:rFonts w:hint="eastAsia" w:ascii="仿宋_GB2312" w:hAnsi="仿宋_GB2312" w:eastAsia="仿宋_GB2312" w:cs="Times New Roman"/>
          <w:color w:val="000000"/>
          <w:sz w:val="32"/>
          <w:szCs w:val="32"/>
        </w:rPr>
        <w:t xml:space="preserve">占总补助资金的16%。支持农技人员进行知识更新，包括参加农业农村部农技推广骨干人才培养、异地或出区研修、集中培训和现场实训等教材、场地、差旅、食宿、交通等培训有关费用。 </w:t>
      </w:r>
    </w:p>
    <w:p w14:paraId="57FE0D79">
      <w:pPr>
        <w:widowControl/>
        <w:ind w:firstLine="643" w:firstLineChars="200"/>
        <w:jc w:val="left"/>
        <w:rPr>
          <w:rFonts w:hint="eastAsia" w:ascii="仿宋_GB2312" w:hAnsi="仿宋_GB2312" w:eastAsia="仿宋_GB2312" w:cs="Times New Roman"/>
          <w:color w:val="000000"/>
          <w:sz w:val="32"/>
          <w:szCs w:val="32"/>
        </w:rPr>
      </w:pPr>
      <w:r>
        <w:rPr>
          <w:rFonts w:cs="Times New Roman"/>
          <w:b/>
          <w:bCs/>
          <w:color w:val="000000"/>
          <w:kern w:val="0"/>
          <w:sz w:val="32"/>
          <w:szCs w:val="32"/>
        </w:rPr>
        <w:t>4.</w:t>
      </w:r>
      <w:r>
        <w:rPr>
          <w:rFonts w:ascii="仿宋_GB2312" w:hAnsi="仿宋_GB2312"/>
          <w:b/>
          <w:bCs/>
          <w:color w:val="000000"/>
          <w:kern w:val="0"/>
          <w:sz w:val="32"/>
          <w:szCs w:val="32"/>
        </w:rPr>
        <w:t>新技术推广应用补助。</w:t>
      </w:r>
      <w:r>
        <w:rPr>
          <w:rFonts w:hint="eastAsia" w:ascii="仿宋_GB2312" w:hAnsi="仿宋_GB2312" w:eastAsia="仿宋_GB2312" w:cs="Times New Roman"/>
          <w:color w:val="000000"/>
          <w:sz w:val="32"/>
          <w:szCs w:val="32"/>
        </w:rPr>
        <w:t>占总补助资金的9%。</w:t>
      </w:r>
      <w:r>
        <w:rPr>
          <w:rFonts w:hint="eastAsia" w:ascii="仿宋_GB2312" w:hAnsi="仿宋_GB2312" w:eastAsia="仿宋_GB2312" w:cs="Times New Roman"/>
          <w:color w:val="000000"/>
          <w:sz w:val="32"/>
          <w:szCs w:val="32"/>
          <w:u w:val="none"/>
        </w:rPr>
        <w:t>鼓励支持</w:t>
      </w:r>
      <w:r>
        <w:rPr>
          <w:rFonts w:hint="eastAsia" w:ascii="仿宋_GB2312" w:hAnsi="仿宋_GB2312" w:eastAsia="仿宋_GB2312" w:cs="Times New Roman"/>
          <w:color w:val="000000"/>
          <w:sz w:val="32"/>
          <w:szCs w:val="32"/>
          <w:u w:val="none"/>
          <w:lang w:eastAsia="zh-CN"/>
        </w:rPr>
        <w:t>农牧业</w:t>
      </w:r>
      <w:r>
        <w:rPr>
          <w:rFonts w:hint="eastAsia" w:ascii="仿宋_GB2312" w:hAnsi="仿宋_GB2312" w:eastAsia="仿宋_GB2312" w:cs="Times New Roman"/>
          <w:color w:val="000000"/>
          <w:sz w:val="32"/>
          <w:szCs w:val="32"/>
          <w:u w:val="none"/>
        </w:rPr>
        <w:t>新技术推广应用补助，</w:t>
      </w:r>
      <w:r>
        <w:rPr>
          <w:rFonts w:hint="eastAsia" w:ascii="仿宋_GB2312" w:hAnsi="仿宋_GB2312" w:eastAsia="仿宋_GB2312" w:cs="Times New Roman"/>
          <w:color w:val="000000"/>
          <w:sz w:val="32"/>
          <w:szCs w:val="32"/>
        </w:rPr>
        <w:t>提升生产效率，促进农牧业科技成果转化。</w:t>
      </w:r>
    </w:p>
    <w:p w14:paraId="230A4C3D">
      <w:pPr>
        <w:autoSpaceDE w:val="0"/>
        <w:spacing w:line="560" w:lineRule="exact"/>
        <w:ind w:firstLine="643" w:firstLineChars="200"/>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（三）补助内容</w:t>
      </w:r>
    </w:p>
    <w:p w14:paraId="6F048B91">
      <w:pPr>
        <w:autoSpaceDE w:val="0"/>
        <w:spacing w:line="560" w:lineRule="exact"/>
        <w:ind w:firstLine="643" w:firstLineChars="200"/>
        <w:rPr>
          <w:rFonts w:eastAsia="仿宋_GB2312" w:cs="Times New Roman"/>
          <w:sz w:val="32"/>
          <w:szCs w:val="32"/>
        </w:rPr>
      </w:pPr>
      <w:r>
        <w:rPr>
          <w:rFonts w:eastAsia="仿宋_GB2312" w:cs="Times New Roman"/>
          <w:b/>
          <w:bCs/>
          <w:sz w:val="32"/>
          <w:szCs w:val="32"/>
        </w:rPr>
        <w:t>1.</w:t>
      </w:r>
      <w:r>
        <w:rPr>
          <w:rFonts w:ascii="仿宋_GB2312" w:hAnsi="仿宋_GB2312" w:eastAsia="仿宋_GB2312" w:cs="Times New Roman"/>
          <w:b/>
          <w:bCs/>
          <w:sz w:val="32"/>
          <w:szCs w:val="32"/>
        </w:rPr>
        <w:t>提升基层农技队伍服务能力补助。</w:t>
      </w:r>
      <w:r>
        <w:rPr>
          <w:rFonts w:ascii="仿宋_GB2312" w:hAnsi="仿宋_GB2312" w:eastAsia="仿宋_GB2312" w:cs="Times New Roman"/>
          <w:sz w:val="32"/>
          <w:szCs w:val="32"/>
        </w:rPr>
        <w:t>主要用于农技人员参加异地培训、集中办班、现场实训、网络培训等所需的学费、教材费、场地</w:t>
      </w:r>
      <w:r>
        <w:rPr>
          <w:rFonts w:ascii="仿宋_GB2312" w:hAnsi="仿宋_GB2312" w:eastAsia="仿宋_GB2312" w:cs="Times New Roman"/>
          <w:sz w:val="32"/>
          <w:szCs w:val="32"/>
          <w:u w:val="none"/>
        </w:rPr>
        <w:t>费、</w:t>
      </w:r>
      <w:r>
        <w:rPr>
          <w:rFonts w:hint="eastAsia" w:ascii="仿宋_GB2312" w:hAnsi="仿宋_GB2312" w:eastAsia="仿宋_GB2312" w:cs="Times New Roman"/>
          <w:sz w:val="32"/>
          <w:szCs w:val="32"/>
          <w:u w:val="none"/>
          <w:lang w:eastAsia="zh-CN"/>
        </w:rPr>
        <w:t>差</w:t>
      </w:r>
      <w:r>
        <w:rPr>
          <w:rFonts w:ascii="仿宋_GB2312" w:hAnsi="仿宋_GB2312" w:eastAsia="仿宋_GB2312" w:cs="Times New Roman"/>
          <w:sz w:val="32"/>
          <w:szCs w:val="32"/>
        </w:rPr>
        <w:t>旅费、食宿费、交通费、讲课费等。</w:t>
      </w:r>
    </w:p>
    <w:p w14:paraId="29980A80">
      <w:pPr>
        <w:autoSpaceDE w:val="0"/>
        <w:spacing w:line="560" w:lineRule="exact"/>
        <w:ind w:firstLine="643" w:firstLineChars="200"/>
        <w:rPr>
          <w:rFonts w:eastAsia="仿宋_GB2312" w:cs="Times New Roman"/>
          <w:sz w:val="32"/>
          <w:szCs w:val="32"/>
        </w:rPr>
      </w:pPr>
      <w:r>
        <w:rPr>
          <w:rFonts w:eastAsia="仿宋_GB2312" w:cs="Times New Roman"/>
          <w:b/>
          <w:bCs/>
          <w:sz w:val="32"/>
          <w:szCs w:val="32"/>
        </w:rPr>
        <w:t>2.</w:t>
      </w:r>
      <w:r>
        <w:rPr>
          <w:rFonts w:ascii="仿宋_GB2312" w:hAnsi="仿宋_GB2312" w:eastAsia="仿宋_GB2312" w:cs="Times New Roman"/>
          <w:b/>
          <w:bCs/>
          <w:sz w:val="32"/>
          <w:szCs w:val="32"/>
        </w:rPr>
        <w:t>建设农业科技示范基地补助。</w:t>
      </w:r>
      <w:r>
        <w:rPr>
          <w:rFonts w:ascii="仿宋_GB2312" w:hAnsi="仿宋_GB2312" w:eastAsia="仿宋_GB2312" w:cs="Times New Roman"/>
          <w:sz w:val="32"/>
          <w:szCs w:val="32"/>
        </w:rPr>
        <w:t>示范基地补助不超过</w:t>
      </w:r>
      <w:r>
        <w:rPr>
          <w:rFonts w:hint="eastAsia" w:eastAsia="仿宋_GB2312" w:cs="Times New Roman"/>
          <w:sz w:val="32"/>
          <w:szCs w:val="32"/>
        </w:rPr>
        <w:t>10</w:t>
      </w:r>
      <w:r>
        <w:rPr>
          <w:rFonts w:ascii="仿宋_GB2312" w:hAnsi="仿宋_GB2312" w:eastAsia="仿宋_GB2312" w:cs="Times New Roman"/>
          <w:sz w:val="32"/>
          <w:szCs w:val="32"/>
        </w:rPr>
        <w:t>万元，主要用于购买种子（苗）、农药、肥料、饲料等物资及开展集成示范、推广应用、展示观摩和教育培训等补助。</w:t>
      </w:r>
    </w:p>
    <w:p w14:paraId="7C8FCD68">
      <w:pPr>
        <w:autoSpaceDE w:val="0"/>
        <w:spacing w:line="560" w:lineRule="exact"/>
        <w:ind w:firstLine="643" w:firstLineChars="200"/>
        <w:rPr>
          <w:rFonts w:eastAsia="仿宋_GB2312" w:cs="Times New Roman"/>
          <w:sz w:val="32"/>
          <w:szCs w:val="32"/>
        </w:rPr>
      </w:pPr>
      <w:r>
        <w:rPr>
          <w:rFonts w:eastAsia="仿宋_GB2312" w:cs="Times New Roman"/>
          <w:b/>
          <w:bCs/>
          <w:sz w:val="32"/>
          <w:szCs w:val="32"/>
        </w:rPr>
        <w:t>3.</w:t>
      </w:r>
      <w:r>
        <w:rPr>
          <w:rFonts w:ascii="仿宋_GB2312" w:hAnsi="仿宋_GB2312" w:eastAsia="仿宋_GB2312" w:cs="Times New Roman"/>
          <w:b/>
          <w:bCs/>
          <w:sz w:val="32"/>
          <w:szCs w:val="32"/>
        </w:rPr>
        <w:t>培育农业科技示范主体补助。</w:t>
      </w:r>
      <w:r>
        <w:rPr>
          <w:rFonts w:ascii="仿宋_GB2312" w:hAnsi="仿宋_GB2312" w:eastAsia="仿宋_GB2312" w:cs="Times New Roman"/>
          <w:sz w:val="32"/>
          <w:szCs w:val="32"/>
        </w:rPr>
        <w:t>一是农民田间学校补助不超过</w:t>
      </w:r>
      <w:r>
        <w:rPr>
          <w:rFonts w:hint="eastAsia" w:eastAsia="仿宋_GB2312" w:cs="Times New Roman"/>
          <w:sz w:val="32"/>
          <w:szCs w:val="32"/>
        </w:rPr>
        <w:t>3</w:t>
      </w:r>
      <w:r>
        <w:rPr>
          <w:rFonts w:ascii="仿宋_GB2312" w:hAnsi="仿宋_GB2312" w:eastAsia="仿宋_GB2312" w:cs="Times New Roman"/>
          <w:sz w:val="32"/>
          <w:szCs w:val="32"/>
        </w:rPr>
        <w:t>万元，主要用于组织交流观摩、教育培训等补助；二是每个科技示范主体补助</w:t>
      </w:r>
      <w:r>
        <w:rPr>
          <w:rFonts w:hint="eastAsia" w:ascii="仿宋_GB2312" w:hAnsi="仿宋_GB2312" w:eastAsia="仿宋_GB2312" w:cs="Times New Roman"/>
          <w:sz w:val="32"/>
          <w:szCs w:val="32"/>
        </w:rPr>
        <w:t>0</w:t>
      </w:r>
      <w:r>
        <w:rPr>
          <w:rFonts w:hint="eastAsia" w:eastAsia="仿宋_GB2312" w:cs="Times New Roman"/>
          <w:sz w:val="32"/>
          <w:szCs w:val="32"/>
        </w:rPr>
        <w:t>.12万</w:t>
      </w:r>
      <w:r>
        <w:rPr>
          <w:rFonts w:ascii="仿宋_GB2312" w:hAnsi="仿宋_GB2312" w:eastAsia="仿宋_GB2312" w:cs="Times New Roman"/>
          <w:sz w:val="32"/>
          <w:szCs w:val="32"/>
        </w:rPr>
        <w:t>元，主要用于购买种子（苗）、农药、肥料、饲料等物化补助。</w:t>
      </w:r>
    </w:p>
    <w:p w14:paraId="76D75962">
      <w:pPr>
        <w:autoSpaceDE w:val="0"/>
        <w:spacing w:line="560" w:lineRule="exact"/>
        <w:ind w:firstLine="643" w:firstLineChars="200"/>
        <w:rPr>
          <w:rFonts w:eastAsia="仿宋_GB2312" w:cs="Times New Roman"/>
          <w:sz w:val="32"/>
          <w:szCs w:val="32"/>
        </w:rPr>
      </w:pPr>
      <w:r>
        <w:rPr>
          <w:rFonts w:eastAsia="仿宋_GB2312" w:cs="Times New Roman"/>
          <w:b/>
          <w:bCs/>
          <w:sz w:val="32"/>
          <w:szCs w:val="32"/>
        </w:rPr>
        <w:t>4.</w:t>
      </w:r>
      <w:r>
        <w:rPr>
          <w:rFonts w:ascii="仿宋_GB2312" w:hAnsi="仿宋_GB2312" w:eastAsia="仿宋_GB2312" w:cs="Times New Roman"/>
          <w:b/>
          <w:bCs/>
          <w:sz w:val="32"/>
          <w:szCs w:val="32"/>
        </w:rPr>
        <w:t>农技推广服务信息化建设补助。</w:t>
      </w:r>
      <w:r>
        <w:rPr>
          <w:rFonts w:ascii="仿宋_GB2312" w:hAnsi="仿宋_GB2312" w:eastAsia="仿宋_GB2312" w:cs="Times New Roman"/>
          <w:sz w:val="32"/>
          <w:szCs w:val="32"/>
          <w:u w:val="none"/>
        </w:rPr>
        <w:t>每个在编在岗的农技人员每月补助</w:t>
      </w:r>
      <w:r>
        <w:rPr>
          <w:rFonts w:eastAsia="仿宋_GB2312" w:cs="Times New Roman"/>
          <w:sz w:val="32"/>
          <w:szCs w:val="32"/>
          <w:u w:val="none"/>
        </w:rPr>
        <w:t>50</w:t>
      </w:r>
      <w:r>
        <w:rPr>
          <w:rFonts w:ascii="仿宋_GB2312" w:hAnsi="仿宋_GB2312" w:eastAsia="仿宋_GB2312" w:cs="Times New Roman"/>
          <w:sz w:val="32"/>
          <w:szCs w:val="32"/>
          <w:u w:val="none"/>
        </w:rPr>
        <w:t>元，</w:t>
      </w:r>
      <w:r>
        <w:rPr>
          <w:rFonts w:ascii="仿宋_GB2312" w:hAnsi="仿宋_GB2312" w:eastAsia="仿宋_GB2312" w:cs="Times New Roman"/>
          <w:sz w:val="32"/>
          <w:szCs w:val="32"/>
        </w:rPr>
        <w:t>主要用于农技人员使用中国农技推广</w:t>
      </w:r>
      <w:r>
        <w:rPr>
          <w:rFonts w:eastAsia="仿宋_GB2312" w:cs="Times New Roman"/>
          <w:sz w:val="32"/>
          <w:szCs w:val="32"/>
        </w:rPr>
        <w:t>APP</w:t>
      </w:r>
      <w:r>
        <w:rPr>
          <w:rFonts w:ascii="仿宋_GB2312" w:hAnsi="仿宋_GB2312" w:eastAsia="仿宋_GB2312" w:cs="Times New Roman"/>
          <w:sz w:val="32"/>
          <w:szCs w:val="32"/>
        </w:rPr>
        <w:t>开展在线学习、互动交流、技术普及等活动所需流量费用等补助。</w:t>
      </w:r>
    </w:p>
    <w:p w14:paraId="67F29684">
      <w:pPr>
        <w:autoSpaceDE w:val="0"/>
        <w:spacing w:line="560" w:lineRule="exact"/>
        <w:ind w:firstLine="641"/>
        <w:rPr>
          <w:rFonts w:ascii="宋体" w:hAnsi="宋体"/>
          <w:kern w:val="0"/>
          <w:sz w:val="24"/>
          <w:szCs w:val="24"/>
        </w:rPr>
      </w:pPr>
      <w:r>
        <w:rPr>
          <w:rFonts w:eastAsia="仿宋_GB2312" w:cs="Times New Roman"/>
          <w:b/>
          <w:bCs/>
          <w:sz w:val="32"/>
          <w:szCs w:val="32"/>
        </w:rPr>
        <w:t>5.</w:t>
      </w:r>
      <w:r>
        <w:rPr>
          <w:rFonts w:ascii="仿宋_GB2312" w:hAnsi="仿宋_GB2312" w:eastAsia="仿宋_GB2312" w:cs="Times New Roman"/>
          <w:b/>
          <w:bCs/>
          <w:sz w:val="32"/>
          <w:szCs w:val="32"/>
        </w:rPr>
        <w:t>其他费用补助。</w:t>
      </w:r>
      <w:r>
        <w:rPr>
          <w:rFonts w:ascii="仿宋_GB2312" w:hAnsi="仿宋_GB2312" w:eastAsia="仿宋_GB2312" w:cs="Times New Roman"/>
          <w:sz w:val="32"/>
          <w:szCs w:val="32"/>
        </w:rPr>
        <w:t>主要用于农技人员进村入户开展技术指导服务所需差旅费、聘请技术专家、技术资料印刷、制度建设及工作考评、宣传报道等费用。</w:t>
      </w:r>
    </w:p>
    <w:p w14:paraId="4BB60658">
      <w:pPr>
        <w:autoSpaceDE w:val="0"/>
        <w:spacing w:line="560" w:lineRule="exact"/>
        <w:ind w:firstLine="640" w:firstLineChars="200"/>
        <w:rPr>
          <w:rFonts w:hint="eastAsia" w:eastAsia="黑体" w:cs="Times New Roman"/>
          <w:color w:val="FF0000"/>
          <w:sz w:val="32"/>
          <w:szCs w:val="32"/>
        </w:rPr>
      </w:pPr>
      <w:r>
        <w:rPr>
          <w:rFonts w:hint="eastAsia" w:ascii="黑体" w:hAnsi="黑体" w:eastAsia="黑体" w:cs="Times New Roman"/>
          <w:color w:val="000000"/>
          <w:sz w:val="32"/>
          <w:szCs w:val="32"/>
        </w:rPr>
        <w:t>三</w:t>
      </w:r>
      <w:r>
        <w:rPr>
          <w:rFonts w:ascii="黑体" w:hAnsi="黑体" w:eastAsia="黑体" w:cs="Times New Roman"/>
          <w:color w:val="000000"/>
          <w:sz w:val="32"/>
          <w:szCs w:val="32"/>
        </w:rPr>
        <w:t>、</w:t>
      </w:r>
      <w:r>
        <w:rPr>
          <w:rFonts w:hint="eastAsia" w:ascii="黑体" w:hAnsi="黑体" w:eastAsia="黑体" w:cs="Times New Roman"/>
          <w:color w:val="000000"/>
          <w:sz w:val="32"/>
          <w:szCs w:val="32"/>
        </w:rPr>
        <w:t>主要措施</w:t>
      </w:r>
    </w:p>
    <w:p w14:paraId="1FABDAE0">
      <w:pPr>
        <w:autoSpaceDE w:val="0"/>
        <w:spacing w:line="560" w:lineRule="exact"/>
        <w:ind w:firstLine="643" w:firstLineChars="200"/>
        <w:rPr>
          <w:rFonts w:hint="eastAsia" w:ascii="仿宋_GB2312" w:hAnsi="仿宋_GB2312" w:eastAsia="仿宋_GB2312" w:cs="Times New Roman"/>
          <w:sz w:val="32"/>
          <w:szCs w:val="32"/>
          <w:u w:val="none"/>
          <w:lang w:eastAsia="zh-CN"/>
        </w:rPr>
      </w:pPr>
      <w:r>
        <w:rPr>
          <w:rFonts w:hint="eastAsia" w:ascii="楷体_GB2312" w:hAnsi="楷体_GB2312" w:eastAsia="楷体_GB2312" w:cs="楷体_GB2312"/>
          <w:b/>
          <w:bCs/>
          <w:color w:val="000000"/>
          <w:kern w:val="0"/>
          <w:sz w:val="32"/>
          <w:szCs w:val="32"/>
        </w:rPr>
        <w:t>（一）支持先进适用技术落地。</w:t>
      </w:r>
      <w:r>
        <w:rPr>
          <w:rFonts w:ascii="仿宋_GB2312" w:hAnsi="仿宋_GB2312" w:eastAsia="仿宋_GB2312" w:cs="Times New Roman"/>
          <w:sz w:val="32"/>
          <w:szCs w:val="32"/>
        </w:rPr>
        <w:t>贯通农业科研、推广和示范主体培育体系，</w:t>
      </w:r>
      <w:r>
        <w:rPr>
          <w:rFonts w:hint="eastAsia" w:ascii="仿宋_GB2312" w:hAnsi="仿宋_GB2312" w:eastAsia="仿宋_GB2312" w:cs="Times New Roman"/>
          <w:sz w:val="32"/>
          <w:szCs w:val="32"/>
        </w:rPr>
        <w:t>主要依托市</w:t>
      </w:r>
      <w:r>
        <w:rPr>
          <w:rFonts w:hint="eastAsia" w:ascii="仿宋_GB2312" w:hAnsi="仿宋_GB2312" w:eastAsia="仿宋_GB2312" w:cs="Times New Roman"/>
          <w:sz w:val="32"/>
          <w:szCs w:val="32"/>
          <w:u w:val="none"/>
          <w:lang w:eastAsia="zh-CN"/>
        </w:rPr>
        <w:t>、乡镇</w:t>
      </w:r>
      <w:r>
        <w:rPr>
          <w:rFonts w:hint="eastAsia" w:ascii="仿宋_GB2312" w:hAnsi="仿宋_GB2312" w:eastAsia="仿宋_GB2312" w:cs="Times New Roman"/>
          <w:sz w:val="32"/>
          <w:szCs w:val="32"/>
          <w:u w:val="none"/>
        </w:rPr>
        <w:t>级农</w:t>
      </w:r>
      <w:r>
        <w:rPr>
          <w:rFonts w:hint="eastAsia" w:ascii="仿宋_GB2312" w:hAnsi="仿宋_GB2312" w:eastAsia="仿宋_GB2312" w:cs="Times New Roman"/>
          <w:sz w:val="32"/>
          <w:szCs w:val="32"/>
        </w:rPr>
        <w:t>业技术推广机构，黑龙江省农研所，引导技术创新。</w:t>
      </w:r>
      <w:r>
        <w:rPr>
          <w:rFonts w:ascii="仿宋_GB2312" w:hAnsi="仿宋_GB2312" w:eastAsia="仿宋_GB2312" w:cs="Times New Roman"/>
          <w:sz w:val="32"/>
          <w:szCs w:val="32"/>
        </w:rPr>
        <w:t>遴选发布年度主导品种主推技术，主推技术遴选聚焦主导（特色）产业需求，形成易懂好用的技术操作规范，依托示范基地等平台和示范主体落实推广应用任务，加快先进技术进村入户到田。结合</w:t>
      </w:r>
      <w:r>
        <w:rPr>
          <w:rFonts w:hint="eastAsia" w:ascii="仿宋_GB2312" w:hAnsi="仿宋_GB2312" w:eastAsia="仿宋_GB2312" w:cs="Times New Roman"/>
          <w:sz w:val="32"/>
          <w:szCs w:val="32"/>
          <w:u w:val="none"/>
          <w:lang w:eastAsia="zh-CN"/>
        </w:rPr>
        <w:t>农业</w:t>
      </w:r>
      <w:r>
        <w:rPr>
          <w:rFonts w:ascii="仿宋_GB2312" w:hAnsi="仿宋_GB2312" w:eastAsia="仿宋_GB2312" w:cs="Times New Roman"/>
          <w:sz w:val="32"/>
          <w:szCs w:val="32"/>
          <w:u w:val="none"/>
        </w:rPr>
        <w:t>生产实际情况</w:t>
      </w:r>
      <w:r>
        <w:rPr>
          <w:rFonts w:ascii="仿宋_GB2312" w:hAnsi="仿宋_GB2312" w:eastAsia="仿宋_GB2312" w:cs="Times New Roman"/>
          <w:sz w:val="32"/>
          <w:szCs w:val="32"/>
        </w:rPr>
        <w:t>和种植户需求，</w:t>
      </w:r>
      <w:r>
        <w:rPr>
          <w:rFonts w:hint="eastAsia" w:ascii="仿宋_GB2312" w:hAnsi="仿宋_GB2312" w:eastAsia="仿宋_GB2312" w:cs="Times New Roman"/>
          <w:sz w:val="32"/>
          <w:szCs w:val="32"/>
        </w:rPr>
        <w:t>遴选</w:t>
      </w:r>
      <w:r>
        <w:rPr>
          <w:rFonts w:hint="eastAsia" w:ascii="仿宋_GB2312" w:hAnsi="仿宋_GB2312" w:eastAsia="仿宋_GB2312" w:cs="Times New Roman"/>
          <w:sz w:val="32"/>
          <w:szCs w:val="32"/>
          <w:u w:val="none"/>
        </w:rPr>
        <w:t>马铃薯</w:t>
      </w:r>
      <w:r>
        <w:rPr>
          <w:rFonts w:hint="eastAsia" w:ascii="仿宋_GB2312" w:hAnsi="仿宋_GB2312" w:eastAsia="仿宋_GB2312" w:cs="Times New Roman"/>
          <w:sz w:val="32"/>
          <w:szCs w:val="32"/>
          <w:u w:val="none"/>
          <w:lang w:eastAsia="zh-CN"/>
        </w:rPr>
        <w:t>希森系列</w:t>
      </w:r>
      <w:r>
        <w:rPr>
          <w:rFonts w:hint="eastAsia" w:ascii="仿宋_GB2312" w:hAnsi="仿宋_GB2312" w:eastAsia="仿宋_GB2312" w:cs="Times New Roman"/>
          <w:sz w:val="32"/>
          <w:szCs w:val="32"/>
          <w:u w:val="none"/>
        </w:rPr>
        <w:t>作为主导品种；遴选马铃薯高产高效水肥管理技术、</w:t>
      </w:r>
      <w:r>
        <w:rPr>
          <w:rFonts w:hint="eastAsia" w:ascii="仿宋_GB2312" w:hAnsi="仿宋_GB2312" w:eastAsia="仿宋_GB2312" w:cs="Times New Roman"/>
          <w:sz w:val="32"/>
          <w:szCs w:val="32"/>
          <w:u w:val="none"/>
          <w:lang w:eastAsia="zh-CN"/>
        </w:rPr>
        <w:t>樱桃</w:t>
      </w:r>
      <w:r>
        <w:rPr>
          <w:rFonts w:hint="eastAsia" w:ascii="仿宋_GB2312" w:hAnsi="仿宋_GB2312" w:eastAsia="仿宋_GB2312" w:cs="Times New Roman"/>
          <w:sz w:val="32"/>
          <w:szCs w:val="32"/>
          <w:u w:val="none"/>
        </w:rPr>
        <w:t>微生物菌剂改良土壤及施肥技术、设施农业病虫害综合防治技术和应用技术</w:t>
      </w:r>
      <w:r>
        <w:rPr>
          <w:rFonts w:hint="eastAsia" w:ascii="仿宋_GB2312" w:hAnsi="仿宋_GB2312" w:eastAsia="仿宋_GB2312" w:cs="Times New Roman"/>
          <w:sz w:val="32"/>
          <w:szCs w:val="32"/>
          <w:u w:val="none"/>
          <w:lang w:eastAsia="zh-CN"/>
        </w:rPr>
        <w:t>、畜牧业粪便清洁技术</w:t>
      </w:r>
      <w:r>
        <w:rPr>
          <w:rFonts w:hint="eastAsia" w:ascii="仿宋_GB2312" w:hAnsi="仿宋_GB2312" w:eastAsia="仿宋_GB2312" w:cs="Times New Roman"/>
          <w:sz w:val="32"/>
          <w:szCs w:val="32"/>
          <w:u w:val="none"/>
          <w:lang w:val="en-US" w:eastAsia="zh-CN"/>
        </w:rPr>
        <w:t>等4</w:t>
      </w:r>
      <w:r>
        <w:rPr>
          <w:rFonts w:hint="eastAsia" w:ascii="仿宋_GB2312" w:hAnsi="仿宋_GB2312" w:eastAsia="仿宋_GB2312" w:cs="Times New Roman"/>
          <w:sz w:val="32"/>
          <w:szCs w:val="32"/>
          <w:u w:val="none"/>
        </w:rPr>
        <w:t>项主推技术</w:t>
      </w:r>
      <w:r>
        <w:rPr>
          <w:rFonts w:hint="eastAsia" w:ascii="仿宋_GB2312" w:hAnsi="仿宋_GB2312" w:eastAsia="仿宋_GB2312" w:cs="Times New Roman"/>
          <w:sz w:val="32"/>
          <w:szCs w:val="32"/>
          <w:u w:val="none"/>
          <w:lang w:eastAsia="zh-CN"/>
        </w:rPr>
        <w:t>。</w:t>
      </w:r>
    </w:p>
    <w:p w14:paraId="0B6A56F3">
      <w:pPr>
        <w:autoSpaceDE w:val="0"/>
        <w:spacing w:line="560" w:lineRule="exact"/>
        <w:ind w:firstLine="643" w:firstLineChars="200"/>
        <w:rPr>
          <w:rFonts w:ascii="仿宋_GB2312" w:hAnsi="宋体"/>
          <w:sz w:val="32"/>
          <w:szCs w:val="32"/>
        </w:rPr>
      </w:pPr>
      <w:r>
        <w:rPr>
          <w:rFonts w:hint="eastAsia" w:ascii="楷体_GB2312" w:hAnsi="楷体_GB2312" w:eastAsia="楷体_GB2312" w:cs="楷体_GB2312"/>
          <w:b/>
          <w:bCs/>
          <w:color w:val="000000"/>
          <w:kern w:val="0"/>
          <w:sz w:val="32"/>
          <w:szCs w:val="32"/>
        </w:rPr>
        <w:t>（二）创新农业科技服务模式。</w:t>
      </w:r>
      <w:r>
        <w:rPr>
          <w:rFonts w:ascii="仿宋_GB2312" w:hAnsi="仿宋_GB2312" w:eastAsia="仿宋_GB2312" w:cs="Times New Roman"/>
          <w:sz w:val="32"/>
          <w:szCs w:val="32"/>
        </w:rPr>
        <w:t>围绕粮食稳产保供的要求和自治区</w:t>
      </w:r>
      <w:r>
        <w:rPr>
          <w:rFonts w:ascii="仿宋_GB2312" w:hAnsi="仿宋_GB2312" w:eastAsia="仿宋_GB2312" w:cs="Times New Roman"/>
          <w:sz w:val="32"/>
          <w:szCs w:val="32"/>
          <w:u w:val="none"/>
        </w:rPr>
        <w:t>建设国家</w:t>
      </w:r>
      <w:r>
        <w:rPr>
          <w:rFonts w:hint="eastAsia" w:ascii="仿宋_GB2312" w:hAnsi="仿宋_GB2312" w:eastAsia="仿宋_GB2312" w:cs="Times New Roman"/>
          <w:sz w:val="32"/>
          <w:szCs w:val="32"/>
          <w:u w:val="none"/>
          <w:lang w:eastAsia="zh-CN"/>
        </w:rPr>
        <w:t>重要</w:t>
      </w:r>
      <w:r>
        <w:rPr>
          <w:rFonts w:ascii="仿宋_GB2312" w:hAnsi="仿宋_GB2312" w:eastAsia="仿宋_GB2312" w:cs="Times New Roman"/>
          <w:sz w:val="32"/>
          <w:szCs w:val="32"/>
          <w:u w:val="none"/>
        </w:rPr>
        <w:t>农畜产品</w:t>
      </w:r>
      <w:r>
        <w:rPr>
          <w:rFonts w:hint="eastAsia" w:ascii="仿宋_GB2312" w:hAnsi="仿宋_GB2312" w:eastAsia="仿宋_GB2312" w:cs="Times New Roman"/>
          <w:sz w:val="32"/>
          <w:szCs w:val="32"/>
          <w:u w:val="none"/>
          <w:lang w:eastAsia="zh-CN"/>
        </w:rPr>
        <w:t>生产</w:t>
      </w:r>
      <w:r>
        <w:rPr>
          <w:rFonts w:ascii="仿宋_GB2312" w:hAnsi="仿宋_GB2312" w:eastAsia="仿宋_GB2312" w:cs="Times New Roman"/>
          <w:sz w:val="32"/>
          <w:szCs w:val="32"/>
          <w:u w:val="none"/>
        </w:rPr>
        <w:t>基地任务，</w:t>
      </w:r>
      <w:r>
        <w:rPr>
          <w:rFonts w:ascii="仿宋_GB2312" w:hAnsi="仿宋_GB2312" w:eastAsia="仿宋_GB2312" w:cs="Times New Roman"/>
          <w:sz w:val="32"/>
          <w:szCs w:val="32"/>
        </w:rPr>
        <w:t>开展农业技术培训、</w:t>
      </w:r>
      <w:r>
        <w:rPr>
          <w:rFonts w:hint="eastAsia" w:ascii="仿宋_GB2312" w:hAnsi="仿宋_GB2312" w:eastAsia="仿宋_GB2312" w:cs="Times New Roman"/>
          <w:sz w:val="32"/>
          <w:szCs w:val="32"/>
          <w:lang w:eastAsia="zh-CN"/>
        </w:rPr>
        <w:t>植物病虫害、</w:t>
      </w:r>
      <w:r>
        <w:rPr>
          <w:rFonts w:ascii="仿宋_GB2312" w:hAnsi="仿宋_GB2312" w:eastAsia="仿宋_GB2312" w:cs="Times New Roman"/>
          <w:sz w:val="32"/>
          <w:szCs w:val="32"/>
        </w:rPr>
        <w:t>农业防灾减灾等技术服务，强化推广体系公益性职责履行。构建适应新时代发展要求的多元互补、高效协同的农技推广体系，积极探索学习新型农技推广服务模式，加强与其他区域农技推广机构与科研院所等主体联合开展技术推广服务</w:t>
      </w:r>
      <w:r>
        <w:rPr>
          <w:rFonts w:hint="eastAsia" w:ascii="仿宋_GB2312" w:hAnsi="仿宋_GB2312" w:eastAsia="仿宋_GB2312" w:cs="Times New Roman"/>
          <w:sz w:val="32"/>
          <w:szCs w:val="32"/>
          <w:lang w:eastAsia="zh-CN"/>
        </w:rPr>
        <w:t>，</w:t>
      </w:r>
      <w:r>
        <w:rPr>
          <w:rFonts w:ascii="仿宋_GB2312" w:hAnsi="仿宋_GB2312" w:eastAsia="仿宋_GB2312" w:cs="Times New Roman"/>
          <w:sz w:val="32"/>
          <w:szCs w:val="32"/>
        </w:rPr>
        <w:t>为新型农牧业经营主体和小农户提供全程化、精准化和个性化的指导服务</w:t>
      </w:r>
      <w:r>
        <w:rPr>
          <w:rFonts w:hint="eastAsia" w:ascii="仿宋_GB2312" w:hAnsi="仿宋_GB2312" w:eastAsia="仿宋_GB2312" w:cs="Times New Roman"/>
          <w:sz w:val="32"/>
          <w:szCs w:val="32"/>
          <w:lang w:eastAsia="zh-CN"/>
        </w:rPr>
        <w:t>，</w:t>
      </w:r>
      <w:r>
        <w:rPr>
          <w:rFonts w:ascii="仿宋_GB2312" w:hAnsi="仿宋_GB2312" w:eastAsia="仿宋_GB2312" w:cs="Times New Roman"/>
          <w:sz w:val="32"/>
          <w:szCs w:val="32"/>
        </w:rPr>
        <w:t>提升基层农技推广机构服务能力，立足职责履行和发展要求，加强农技推广服务工作。</w:t>
      </w:r>
    </w:p>
    <w:p w14:paraId="020F8C4F">
      <w:pPr>
        <w:widowControl/>
        <w:autoSpaceDE w:val="0"/>
        <w:adjustRightInd w:val="0"/>
        <w:snapToGrid w:val="0"/>
        <w:spacing w:line="560" w:lineRule="exact"/>
        <w:ind w:firstLine="643" w:firstLineChars="200"/>
        <w:rPr>
          <w:rFonts w:ascii="仿宋_GB2312" w:hAnsi="仿宋_GB2312" w:eastAsia="仿宋_GB2312" w:cs="Times New Roman"/>
          <w:sz w:val="32"/>
          <w:szCs w:val="32"/>
        </w:rPr>
      </w:pPr>
      <w:r>
        <w:rPr>
          <w:rFonts w:ascii="楷体_GB2312" w:hAnsi="楷体_GB2312" w:eastAsia="楷体_GB2312" w:cs="Times New Roman"/>
          <w:b/>
          <w:color w:val="000000"/>
          <w:sz w:val="32"/>
          <w:szCs w:val="32"/>
        </w:rPr>
        <w:t>（三）</w:t>
      </w:r>
      <w:r>
        <w:rPr>
          <w:rFonts w:ascii="楷体_GB2312" w:hAnsi="楷体_GB2312" w:eastAsia="楷体_GB2312" w:cs="Times New Roman"/>
          <w:b/>
          <w:kern w:val="0"/>
          <w:sz w:val="32"/>
          <w:szCs w:val="32"/>
          <w:u w:val="none"/>
        </w:rPr>
        <w:t>提升农技推广队伍能力</w:t>
      </w:r>
      <w:r>
        <w:rPr>
          <w:rFonts w:hint="eastAsia" w:ascii="楷体_GB2312" w:hAnsi="楷体_GB2312" w:eastAsia="楷体_GB2312" w:cs="Times New Roman"/>
          <w:b/>
          <w:kern w:val="0"/>
          <w:sz w:val="32"/>
          <w:szCs w:val="32"/>
          <w:u w:val="none"/>
          <w:lang w:eastAsia="zh-CN"/>
        </w:rPr>
        <w:t>水平</w:t>
      </w:r>
      <w:r>
        <w:rPr>
          <w:rFonts w:ascii="楷体_GB2312" w:hAnsi="楷体_GB2312" w:eastAsia="楷体_GB2312" w:cs="Times New Roman"/>
          <w:b/>
          <w:kern w:val="0"/>
          <w:sz w:val="32"/>
          <w:szCs w:val="32"/>
          <w:u w:val="none"/>
        </w:rPr>
        <w:t>。</w:t>
      </w:r>
      <w:r>
        <w:rPr>
          <w:rFonts w:ascii="仿宋_GB2312" w:hAnsi="仿宋_GB2312" w:eastAsia="仿宋_GB2312" w:cs="Times New Roman"/>
          <w:sz w:val="32"/>
          <w:szCs w:val="32"/>
        </w:rPr>
        <w:t>通过分层分类培训、补充高素质人才、强化激励约束等措施，</w:t>
      </w:r>
      <w:r>
        <w:rPr>
          <w:rFonts w:hint="eastAsia" w:ascii="仿宋_GB2312" w:hAnsi="仿宋_GB2312" w:eastAsia="仿宋_GB2312" w:cs="Times New Roman"/>
          <w:sz w:val="32"/>
          <w:szCs w:val="32"/>
        </w:rPr>
        <w:t>提升农技推广队伍能力素质，</w:t>
      </w:r>
      <w:r>
        <w:rPr>
          <w:rFonts w:ascii="仿宋_GB2312" w:hAnsi="仿宋_GB2312" w:eastAsia="仿宋_GB2312" w:cs="Times New Roman"/>
          <w:sz w:val="32"/>
          <w:szCs w:val="32"/>
        </w:rPr>
        <w:t>依托优质培训机构，对农技推广骨干人才，统一组织连续不少于5天的脱产业务培训。</w:t>
      </w:r>
      <w:r>
        <w:rPr>
          <w:rFonts w:hint="eastAsia" w:ascii="仿宋_GB2312" w:hAnsi="仿宋_GB2312" w:eastAsia="仿宋_GB2312" w:cs="Times New Roman"/>
          <w:sz w:val="32"/>
          <w:szCs w:val="32"/>
          <w:lang w:eastAsia="zh-CN"/>
        </w:rPr>
        <w:t>我市</w:t>
      </w:r>
      <w:r>
        <w:rPr>
          <w:rFonts w:ascii="仿宋_GB2312" w:hAnsi="仿宋_GB2312" w:eastAsia="仿宋_GB2312" w:cs="Times New Roman"/>
          <w:sz w:val="32"/>
          <w:szCs w:val="32"/>
          <w:u w:val="none"/>
        </w:rPr>
        <w:t>开展不少于</w:t>
      </w:r>
      <w:r>
        <w:rPr>
          <w:rFonts w:hint="eastAsia" w:ascii="仿宋_GB2312" w:hAnsi="仿宋_GB2312" w:eastAsia="仿宋_GB2312" w:cs="Times New Roman"/>
          <w:sz w:val="32"/>
          <w:szCs w:val="32"/>
          <w:u w:val="none"/>
          <w:lang w:val="en-US" w:eastAsia="zh-CN"/>
        </w:rPr>
        <w:t>2</w:t>
      </w:r>
      <w:r>
        <w:rPr>
          <w:rFonts w:ascii="仿宋_GB2312" w:hAnsi="仿宋_GB2312" w:eastAsia="仿宋_GB2312" w:cs="Times New Roman"/>
          <w:sz w:val="32"/>
          <w:szCs w:val="32"/>
          <w:u w:val="none"/>
        </w:rPr>
        <w:t>天的理论知识更新培训，不少于</w:t>
      </w:r>
      <w:r>
        <w:rPr>
          <w:rFonts w:hint="eastAsia" w:ascii="仿宋_GB2312" w:hAnsi="仿宋_GB2312" w:eastAsia="仿宋_GB2312" w:cs="Times New Roman"/>
          <w:sz w:val="32"/>
          <w:szCs w:val="32"/>
          <w:u w:val="none"/>
          <w:lang w:val="en-US" w:eastAsia="zh-CN"/>
        </w:rPr>
        <w:t>3</w:t>
      </w:r>
      <w:r>
        <w:rPr>
          <w:rFonts w:ascii="仿宋_GB2312" w:hAnsi="仿宋_GB2312" w:eastAsia="仿宋_GB2312" w:cs="Times New Roman"/>
          <w:sz w:val="32"/>
          <w:szCs w:val="32"/>
          <w:u w:val="none"/>
        </w:rPr>
        <w:t>天的实训课程，开展线上线下技术培训不少于3次、人员不少于100人次。</w:t>
      </w:r>
      <w:r>
        <w:rPr>
          <w:rFonts w:ascii="仿宋_GB2312" w:hAnsi="仿宋_GB2312" w:eastAsia="仿宋_GB2312" w:cs="Times New Roman"/>
          <w:sz w:val="32"/>
          <w:szCs w:val="32"/>
        </w:rPr>
        <w:t>鼓励支持基层农技人员通过脱产进修、在职研修等方式，学习专业知识，提升服务能力。加大高素质人员补充力度，严把人员进入“门槛”，选拔学历水平和专业技能符合岗位要求的人员进入基层农技推广队伍。</w:t>
      </w:r>
    </w:p>
    <w:p w14:paraId="74928E3E">
      <w:pPr>
        <w:pStyle w:val="6"/>
        <w:widowControl w:val="0"/>
        <w:shd w:val="clear" w:color="auto" w:fill="FFFFFF"/>
        <w:autoSpaceDE w:val="0"/>
        <w:spacing w:before="0" w:beforeAutospacing="0" w:after="0" w:afterAutospacing="0" w:line="560" w:lineRule="exact"/>
        <w:ind w:firstLine="480"/>
        <w:rPr>
          <w:rFonts w:ascii="仿宋_GB2312" w:hAnsi="仿宋_GB2312" w:eastAsia="仿宋_GB2312" w:cs="Times New Roman"/>
          <w:kern w:val="2"/>
          <w:sz w:val="32"/>
          <w:szCs w:val="32"/>
          <w:lang w:val="en-US" w:eastAsia="zh-CN" w:bidi="ar-SA"/>
        </w:rPr>
      </w:pPr>
      <w:r>
        <w:rPr>
          <w:rFonts w:ascii="楷体_GB2312" w:hAnsi="楷体_GB2312" w:eastAsia="楷体_GB2312" w:cs="Times New Roman"/>
          <w:b/>
          <w:color w:val="000000"/>
          <w:sz w:val="32"/>
          <w:szCs w:val="32"/>
        </w:rPr>
        <w:t>（四）</w:t>
      </w:r>
      <w:r>
        <w:rPr>
          <w:rFonts w:hint="eastAsia" w:ascii="楷体_GB2312" w:hAnsi="楷体_GB2312" w:eastAsia="楷体_GB2312" w:cs="Times New Roman"/>
          <w:b/>
          <w:color w:val="000000"/>
          <w:sz w:val="32"/>
          <w:szCs w:val="32"/>
        </w:rPr>
        <w:t>探索</w:t>
      </w:r>
      <w:r>
        <w:rPr>
          <w:rFonts w:ascii="楷体_GB2312" w:hAnsi="楷体_GB2312" w:eastAsia="楷体_GB2312" w:cs="Times New Roman"/>
          <w:b/>
          <w:sz w:val="32"/>
          <w:szCs w:val="32"/>
        </w:rPr>
        <w:t>农业科技社会化服务力量发展。</w:t>
      </w:r>
      <w:r>
        <w:rPr>
          <w:rFonts w:hint="eastAsia" w:ascii="仿宋_GB2312" w:hAnsi="仿宋_GB2312" w:eastAsia="仿宋_GB2312" w:cs="Times New Roman"/>
          <w:kern w:val="2"/>
          <w:sz w:val="32"/>
          <w:szCs w:val="32"/>
          <w:lang w:val="en-US" w:eastAsia="zh-CN" w:bidi="ar-SA"/>
        </w:rPr>
        <w:t>逐步</w:t>
      </w:r>
      <w:r>
        <w:rPr>
          <w:rFonts w:ascii="仿宋_GB2312" w:hAnsi="仿宋_GB2312" w:eastAsia="仿宋_GB2312" w:cs="Times New Roman"/>
          <w:kern w:val="2"/>
          <w:sz w:val="32"/>
          <w:szCs w:val="32"/>
          <w:lang w:val="en-US" w:eastAsia="zh-CN" w:bidi="ar-SA"/>
        </w:rPr>
        <w:t>壮大社会化农技服务力量，</w:t>
      </w:r>
      <w:r>
        <w:rPr>
          <w:rFonts w:hint="eastAsia" w:ascii="仿宋_GB2312" w:hAnsi="仿宋_GB2312" w:eastAsia="仿宋_GB2312" w:cs="Times New Roman"/>
          <w:kern w:val="2"/>
          <w:sz w:val="32"/>
          <w:szCs w:val="32"/>
          <w:lang w:val="en-US" w:eastAsia="zh-CN" w:bidi="ar-SA"/>
        </w:rPr>
        <w:t>探索</w:t>
      </w:r>
      <w:r>
        <w:rPr>
          <w:rFonts w:ascii="仿宋_GB2312" w:hAnsi="仿宋_GB2312" w:eastAsia="仿宋_GB2312" w:cs="Times New Roman"/>
          <w:kern w:val="2"/>
          <w:sz w:val="32"/>
          <w:szCs w:val="32"/>
          <w:lang w:val="en-US" w:eastAsia="zh-CN" w:bidi="ar-SA"/>
        </w:rPr>
        <w:t>科技服务能力较强的农民合作社、家庭农场等社会化服务组织创新代耕代种、代管代收等社会化服务模式，为农户提供生产管护、技术服务、收割销售等科技服务。引导农业科技社会化服务组织通过建立示范基地、“田间学校”等方式开展先进技术试验示范。支持引导建设技术水平高、辐射带动能力强、服务效果好的农业科技社会化服务组织，不断提高科技服务水平</w:t>
      </w:r>
      <w:r>
        <w:rPr>
          <w:rFonts w:hint="eastAsia" w:ascii="仿宋_GB2312" w:hAnsi="仿宋_GB2312" w:eastAsia="仿宋_GB2312" w:cs="Times New Roman"/>
          <w:kern w:val="2"/>
          <w:sz w:val="32"/>
          <w:szCs w:val="32"/>
          <w:lang w:val="en-US" w:eastAsia="zh-CN" w:bidi="ar-SA"/>
        </w:rPr>
        <w:t>。</w:t>
      </w:r>
    </w:p>
    <w:p w14:paraId="321D417F">
      <w:pPr>
        <w:autoSpaceDE w:val="0"/>
        <w:spacing w:line="560" w:lineRule="exact"/>
        <w:ind w:firstLine="643" w:firstLineChars="200"/>
        <w:rPr>
          <w:rFonts w:ascii="仿宋_GB2312" w:hAnsi="仿宋_GB2312" w:eastAsia="仿宋_GB2312" w:cs="Times New Roman"/>
          <w:kern w:val="2"/>
          <w:sz w:val="32"/>
          <w:szCs w:val="32"/>
          <w:lang w:val="en-US" w:eastAsia="zh-CN" w:bidi="ar-SA"/>
        </w:rPr>
      </w:pPr>
      <w:r>
        <w:rPr>
          <w:rFonts w:ascii="楷体_GB2312" w:hAnsi="楷体_GB2312" w:eastAsia="楷体_GB2312" w:cs="Times New Roman"/>
          <w:b/>
          <w:color w:val="000000"/>
          <w:sz w:val="32"/>
          <w:szCs w:val="32"/>
        </w:rPr>
        <w:t>（五）</w:t>
      </w:r>
      <w:r>
        <w:rPr>
          <w:rFonts w:ascii="楷体_GB2312" w:hAnsi="楷体_GB2312" w:eastAsia="楷体_GB2312" w:cs="Times New Roman"/>
          <w:b/>
          <w:kern w:val="0"/>
          <w:sz w:val="32"/>
          <w:szCs w:val="32"/>
        </w:rPr>
        <w:t>加强</w:t>
      </w:r>
      <w:r>
        <w:rPr>
          <w:rFonts w:ascii="楷体_GB2312" w:hAnsi="楷体_GB2312" w:eastAsia="楷体_GB2312" w:cs="Times New Roman"/>
          <w:b/>
          <w:color w:val="000000"/>
          <w:sz w:val="32"/>
          <w:szCs w:val="32"/>
        </w:rPr>
        <w:t>先进技术试</w:t>
      </w:r>
      <w:r>
        <w:rPr>
          <w:rFonts w:ascii="楷体_GB2312" w:hAnsi="楷体_GB2312" w:eastAsia="楷体_GB2312" w:cs="Times New Roman"/>
          <w:b/>
          <w:kern w:val="0"/>
          <w:sz w:val="32"/>
          <w:szCs w:val="32"/>
        </w:rPr>
        <w:t>验示范。</w:t>
      </w:r>
      <w:r>
        <w:rPr>
          <w:rFonts w:ascii="仿宋_GB2312" w:hAnsi="仿宋_GB2312" w:eastAsia="仿宋_GB2312" w:cs="Times New Roman"/>
          <w:kern w:val="2"/>
          <w:sz w:val="32"/>
          <w:szCs w:val="32"/>
          <w:lang w:val="en-US" w:eastAsia="zh-CN" w:bidi="ar-SA"/>
        </w:rPr>
        <w:t>进一步规范农业科技示范基地管理，健全管理制度，加强农业新品种新技术的引进试验示范推广工作，切实发挥做给农民看、带着农民干的作用，</w:t>
      </w:r>
      <w:r>
        <w:rPr>
          <w:rFonts w:hint="eastAsia" w:ascii="仿宋_GB2312" w:hAnsi="仿宋_GB2312" w:eastAsia="仿宋_GB2312" w:cs="Times New Roman"/>
          <w:kern w:val="2"/>
          <w:sz w:val="32"/>
          <w:szCs w:val="32"/>
          <w:lang w:val="en-US" w:eastAsia="zh-CN" w:bidi="ar-SA"/>
        </w:rPr>
        <w:t>发挥</w:t>
      </w:r>
      <w:r>
        <w:rPr>
          <w:rFonts w:ascii="仿宋_GB2312" w:hAnsi="仿宋_GB2312" w:eastAsia="仿宋_GB2312" w:cs="Times New Roman"/>
          <w:kern w:val="2"/>
          <w:sz w:val="32"/>
          <w:szCs w:val="32"/>
          <w:lang w:val="en-US" w:eastAsia="zh-CN" w:bidi="ar-SA"/>
        </w:rPr>
        <w:t>其对周边农户辐射带动能力</w:t>
      </w:r>
      <w:r>
        <w:rPr>
          <w:rFonts w:hint="eastAsia" w:ascii="仿宋_GB2312" w:hAnsi="仿宋_GB2312" w:eastAsia="仿宋_GB2312" w:cs="Times New Roman"/>
          <w:kern w:val="2"/>
          <w:sz w:val="32"/>
          <w:szCs w:val="32"/>
          <w:lang w:val="en-US" w:eastAsia="zh-CN" w:bidi="ar-SA"/>
        </w:rPr>
        <w:t>。</w:t>
      </w:r>
      <w:r>
        <w:rPr>
          <w:rFonts w:ascii="仿宋_GB2312" w:hAnsi="仿宋_GB2312" w:eastAsia="仿宋_GB2312" w:cs="Times New Roman"/>
          <w:kern w:val="2"/>
          <w:sz w:val="32"/>
          <w:szCs w:val="32"/>
          <w:lang w:val="en-US" w:eastAsia="zh-CN" w:bidi="ar-SA"/>
        </w:rPr>
        <w:t>统一树立“基层农技推广体系改革与建设补助项目农业科技示范基地”标识牌。聚焦主导、特色产业需求，立足补助项目任务要求和优势特色产业发展需求，按照“选好一个、带动一片、致富一方”的原则，遴选一批符合当地实际需求</w:t>
      </w:r>
      <w:r>
        <w:rPr>
          <w:rFonts w:hint="eastAsia" w:ascii="仿宋_GB2312" w:hAnsi="仿宋_GB2312" w:eastAsia="仿宋_GB2312" w:cs="Times New Roman"/>
          <w:kern w:val="2"/>
          <w:sz w:val="32"/>
          <w:szCs w:val="32"/>
          <w:lang w:val="en-US" w:eastAsia="zh-CN" w:bidi="ar-SA"/>
        </w:rPr>
        <w:t>，</w:t>
      </w:r>
      <w:r>
        <w:rPr>
          <w:rFonts w:ascii="仿宋_GB2312" w:hAnsi="仿宋_GB2312" w:eastAsia="仿宋_GB2312" w:cs="Times New Roman"/>
          <w:kern w:val="2"/>
          <w:sz w:val="32"/>
          <w:szCs w:val="32"/>
          <w:lang w:val="en-US" w:eastAsia="zh-CN" w:bidi="ar-SA"/>
        </w:rPr>
        <w:t>选择能力较强、乐于助人的新型农牧业经营主体带头人、种养大户、乡土专家等作为农业科技示范主体。</w:t>
      </w:r>
    </w:p>
    <w:p w14:paraId="6D126DD2">
      <w:pPr>
        <w:pStyle w:val="6"/>
        <w:widowControl w:val="0"/>
        <w:shd w:val="clear" w:color="auto" w:fill="FFFFFF"/>
        <w:autoSpaceDE w:val="0"/>
        <w:spacing w:before="0" w:beforeAutospacing="0" w:after="0" w:afterAutospacing="0" w:line="560" w:lineRule="exact"/>
        <w:ind w:firstLine="480"/>
        <w:rPr>
          <w:rFonts w:ascii="仿宋_GB2312" w:hAnsi="仿宋_GB2312" w:eastAsia="仿宋_GB2312" w:cs="Times New Roman"/>
          <w:kern w:val="2"/>
          <w:sz w:val="32"/>
          <w:szCs w:val="32"/>
          <w:lang w:val="en-US" w:eastAsia="zh-CN" w:bidi="ar-SA"/>
        </w:rPr>
      </w:pPr>
      <w:r>
        <w:rPr>
          <w:rFonts w:ascii="楷体_GB2312" w:hAnsi="楷体_GB2312" w:eastAsia="楷体_GB2312" w:cs="Times New Roman"/>
          <w:b/>
          <w:color w:val="000000"/>
          <w:sz w:val="32"/>
          <w:szCs w:val="32"/>
        </w:rPr>
        <w:t>（六）</w:t>
      </w:r>
      <w:r>
        <w:rPr>
          <w:rFonts w:ascii="楷体_GB2312" w:hAnsi="楷体_GB2312" w:eastAsia="楷体_GB2312" w:cs="Times New Roman"/>
          <w:b/>
          <w:sz w:val="32"/>
          <w:szCs w:val="32"/>
        </w:rPr>
        <w:t>优化特聘农技员队伍管理。</w:t>
      </w:r>
      <w:r>
        <w:rPr>
          <w:rFonts w:ascii="仿宋_GB2312" w:hAnsi="仿宋_GB2312" w:eastAsia="仿宋_GB2312" w:cs="Times New Roman"/>
          <w:kern w:val="2"/>
          <w:sz w:val="32"/>
          <w:szCs w:val="32"/>
          <w:lang w:val="en-US" w:eastAsia="zh-CN" w:bidi="ar-SA"/>
        </w:rPr>
        <w:t>加大农技推广服务特聘计划实施力度，围绕优势特色产业发展需求，继续从农业乡土专家、新型农业经营主体技术骨干、种养能手中招募特聘农技员，开展产业技术指导服务，将“土专家”“田秀才”和新型经营主体技术骨干等作为农技推广服务重要力量。特聘农技员由</w:t>
      </w:r>
      <w:r>
        <w:rPr>
          <w:rFonts w:hint="eastAsia" w:ascii="仿宋_GB2312" w:hAnsi="仿宋_GB2312" w:eastAsia="仿宋_GB2312" w:cs="Times New Roman"/>
          <w:kern w:val="2"/>
          <w:sz w:val="32"/>
          <w:szCs w:val="32"/>
          <w:lang w:val="en-US" w:eastAsia="zh-CN" w:bidi="ar-SA"/>
        </w:rPr>
        <w:t>市</w:t>
      </w:r>
      <w:r>
        <w:rPr>
          <w:rFonts w:ascii="仿宋_GB2312" w:hAnsi="仿宋_GB2312" w:eastAsia="仿宋_GB2312" w:cs="Times New Roman"/>
          <w:kern w:val="2"/>
          <w:sz w:val="32"/>
          <w:szCs w:val="32"/>
          <w:lang w:val="en-US" w:eastAsia="zh-CN" w:bidi="ar-SA"/>
        </w:rPr>
        <w:t>农牧部门进行管理和考核，按照研究公示、确定人选、签订服务协议、在中国农技推广信息平台填报等程序进行。特聘农技员要公开透明，完善特聘农技员管理制度，规范购买服务协议，加强对特聘农技员管理。</w:t>
      </w:r>
    </w:p>
    <w:p w14:paraId="573782DB">
      <w:pPr>
        <w:pStyle w:val="6"/>
        <w:widowControl w:val="0"/>
        <w:shd w:val="clear" w:color="auto" w:fill="FFFFFF"/>
        <w:autoSpaceDE w:val="0"/>
        <w:spacing w:before="0" w:beforeAutospacing="0" w:after="0" w:afterAutospacing="0" w:line="560" w:lineRule="exact"/>
        <w:ind w:firstLine="480"/>
        <w:rPr>
          <w:rFonts w:ascii="仿宋_GB2312" w:hAnsi="仿宋_GB2312" w:eastAsia="仿宋_GB2312" w:cs="Times New Roman"/>
          <w:kern w:val="2"/>
          <w:sz w:val="32"/>
          <w:szCs w:val="32"/>
          <w:lang w:val="en-US" w:eastAsia="zh-CN" w:bidi="ar-SA"/>
        </w:rPr>
      </w:pPr>
      <w:r>
        <w:rPr>
          <w:rFonts w:ascii="楷体_GB2312" w:hAnsi="楷体_GB2312" w:eastAsia="楷体_GB2312" w:cs="Times New Roman"/>
          <w:b/>
          <w:color w:val="000000"/>
          <w:sz w:val="32"/>
          <w:szCs w:val="32"/>
        </w:rPr>
        <w:t>（七）</w:t>
      </w:r>
      <w:r>
        <w:rPr>
          <w:rFonts w:ascii="楷体_GB2312" w:hAnsi="楷体_GB2312" w:eastAsia="楷体_GB2312" w:cs="Times New Roman"/>
          <w:b/>
          <w:sz w:val="32"/>
          <w:szCs w:val="32"/>
        </w:rPr>
        <w:t>提升农技推广信息化水平</w:t>
      </w:r>
      <w:r>
        <w:rPr>
          <w:rFonts w:ascii="楷体_GB2312" w:hAnsi="楷体_GB2312" w:eastAsia="楷体_GB2312" w:cs="Times New Roman"/>
          <w:b/>
          <w:color w:val="000000"/>
          <w:sz w:val="32"/>
          <w:szCs w:val="32"/>
        </w:rPr>
        <w:t>。</w:t>
      </w:r>
      <w:r>
        <w:rPr>
          <w:rFonts w:ascii="仿宋_GB2312" w:hAnsi="仿宋_GB2312" w:eastAsia="仿宋_GB2312" w:cs="Times New Roman"/>
          <w:sz w:val="32"/>
          <w:szCs w:val="32"/>
        </w:rPr>
        <w:t>持</w:t>
      </w:r>
      <w:r>
        <w:rPr>
          <w:rFonts w:ascii="仿宋_GB2312" w:hAnsi="仿宋_GB2312" w:eastAsia="仿宋_GB2312" w:cs="Times New Roman"/>
          <w:kern w:val="2"/>
          <w:sz w:val="32"/>
          <w:szCs w:val="32"/>
          <w:lang w:val="en-US" w:eastAsia="zh-CN" w:bidi="ar-SA"/>
        </w:rPr>
        <w:t>续普及中国农技推广信息服务平台使用，探索推进农技员、特聘农技员注册及核准机制，加快普及“互联网+”农技推广服务手段，引导广大农技人员和专家使用“中国农技推广”信息平台在线开展业务培训、问题解答、互动交流等技术服务，鼓励广大农民和新型经营主体利用信息平台获取服务信息，发挥信息平台在管理决策和快速精准服务方面的重要作用，进一步提高农技人员和生产经营者对平台的认知度和使用率。</w:t>
      </w:r>
    </w:p>
    <w:p w14:paraId="1AF8FD5B">
      <w:pPr>
        <w:autoSpaceDE w:val="0"/>
        <w:spacing w:line="560" w:lineRule="exact"/>
        <w:ind w:firstLine="640" w:firstLineChars="200"/>
        <w:rPr>
          <w:rFonts w:eastAsia="黑体" w:cs="Times New Roman"/>
          <w:sz w:val="32"/>
          <w:szCs w:val="32"/>
        </w:rPr>
      </w:pPr>
      <w:r>
        <w:rPr>
          <w:rFonts w:hint="eastAsia" w:ascii="黑体" w:hAnsi="黑体" w:eastAsia="黑体" w:cs="Times New Roman"/>
          <w:sz w:val="32"/>
          <w:szCs w:val="32"/>
        </w:rPr>
        <w:t>四</w:t>
      </w:r>
      <w:r>
        <w:rPr>
          <w:rFonts w:ascii="黑体" w:hAnsi="黑体" w:eastAsia="黑体" w:cs="Times New Roman"/>
          <w:sz w:val="32"/>
          <w:szCs w:val="32"/>
        </w:rPr>
        <w:t>、进度安排</w:t>
      </w:r>
    </w:p>
    <w:p w14:paraId="201F4B9E">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textAlignment w:val="auto"/>
        <w:rPr>
          <w:rFonts w:eastAsia="仿宋_GB2312" w:cs="Times New Roman"/>
          <w:sz w:val="32"/>
          <w:szCs w:val="32"/>
        </w:rPr>
      </w:pPr>
      <w:r>
        <w:rPr>
          <w:rFonts w:ascii="楷体_GB2312" w:hAnsi="楷体_GB2312" w:eastAsia="楷体_GB2312" w:cs="Times New Roman"/>
          <w:b/>
          <w:bCs/>
          <w:sz w:val="32"/>
          <w:szCs w:val="32"/>
        </w:rPr>
        <w:t>（一）第一阶段（</w:t>
      </w:r>
      <w:r>
        <w:rPr>
          <w:rFonts w:eastAsia="楷体_GB2312" w:cs="Times New Roman"/>
          <w:b/>
          <w:bCs/>
          <w:sz w:val="32"/>
          <w:szCs w:val="32"/>
        </w:rPr>
        <w:t>202</w:t>
      </w:r>
      <w:r>
        <w:rPr>
          <w:rFonts w:hint="eastAsia" w:cs="Times New Roman"/>
          <w:b/>
          <w:bCs/>
          <w:sz w:val="32"/>
          <w:szCs w:val="32"/>
        </w:rPr>
        <w:t>4</w:t>
      </w:r>
      <w:r>
        <w:rPr>
          <w:rFonts w:ascii="楷体_GB2312" w:hAnsi="楷体_GB2312" w:eastAsia="楷体_GB2312" w:cs="Times New Roman"/>
          <w:b/>
          <w:bCs/>
          <w:sz w:val="32"/>
          <w:szCs w:val="32"/>
        </w:rPr>
        <w:t>年</w:t>
      </w:r>
      <w:r>
        <w:rPr>
          <w:rFonts w:hint="eastAsia" w:ascii="楷体_GB2312" w:hAnsi="楷体_GB2312" w:eastAsia="楷体_GB2312" w:cs="Times New Roman"/>
          <w:b/>
          <w:bCs/>
          <w:sz w:val="32"/>
          <w:szCs w:val="32"/>
        </w:rPr>
        <w:t>5</w:t>
      </w:r>
      <w:r>
        <w:rPr>
          <w:rFonts w:ascii="楷体_GB2312" w:hAnsi="楷体_GB2312" w:eastAsia="楷体_GB2312" w:cs="Times New Roman"/>
          <w:b/>
          <w:bCs/>
          <w:sz w:val="32"/>
          <w:szCs w:val="32"/>
        </w:rPr>
        <w:t>月</w:t>
      </w:r>
      <w:r>
        <w:rPr>
          <w:rFonts w:eastAsia="楷体_GB2312" w:cs="Times New Roman"/>
          <w:b/>
          <w:bCs/>
          <w:sz w:val="32"/>
          <w:szCs w:val="32"/>
        </w:rPr>
        <w:t>-</w:t>
      </w:r>
      <w:r>
        <w:rPr>
          <w:rFonts w:hint="eastAsia" w:eastAsia="楷体_GB2312" w:cs="Times New Roman"/>
          <w:b/>
          <w:bCs/>
          <w:sz w:val="32"/>
          <w:szCs w:val="32"/>
        </w:rPr>
        <w:t>2024年</w:t>
      </w:r>
      <w:r>
        <w:rPr>
          <w:rFonts w:hint="eastAsia" w:eastAsia="楷体_GB2312" w:cs="Times New Roman"/>
          <w:b/>
          <w:bCs/>
          <w:sz w:val="32"/>
          <w:szCs w:val="32"/>
          <w:lang w:val="en-US" w:eastAsia="zh-CN"/>
        </w:rPr>
        <w:t>8</w:t>
      </w:r>
      <w:r>
        <w:rPr>
          <w:rFonts w:ascii="楷体_GB2312" w:hAnsi="楷体_GB2312" w:eastAsia="楷体_GB2312" w:cs="Times New Roman"/>
          <w:b/>
          <w:bCs/>
          <w:sz w:val="32"/>
          <w:szCs w:val="32"/>
        </w:rPr>
        <w:t>月）。</w:t>
      </w:r>
      <w:r>
        <w:rPr>
          <w:rFonts w:ascii="仿宋_GB2312" w:hAnsi="仿宋_GB2312" w:eastAsia="仿宋_GB2312" w:cs="Times New Roman"/>
          <w:sz w:val="32"/>
          <w:szCs w:val="32"/>
        </w:rPr>
        <w:t>项目部署及实施方案编报和审批阶段。组建专家组，完成主导产业、主导品种、主推技术、示范基地和科技示范户遴选工作</w:t>
      </w:r>
      <w:r>
        <w:rPr>
          <w:rFonts w:hint="eastAsia" w:ascii="宋体" w:hAnsi="宋体"/>
          <w:sz w:val="32"/>
          <w:szCs w:val="32"/>
        </w:rPr>
        <w:t>。</w:t>
      </w:r>
    </w:p>
    <w:p w14:paraId="73CE855C">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textAlignment w:val="auto"/>
        <w:rPr>
          <w:rFonts w:eastAsia="仿宋_GB2312" w:cs="Times New Roman"/>
          <w:b/>
          <w:bCs/>
          <w:sz w:val="32"/>
          <w:szCs w:val="32"/>
        </w:rPr>
      </w:pPr>
      <w:r>
        <w:rPr>
          <w:rFonts w:hint="eastAsia" w:ascii="楷体_GB2312" w:hAnsi="楷体_GB2312" w:eastAsia="楷体_GB2312" w:cs="Times New Roman"/>
          <w:b/>
          <w:bCs/>
          <w:sz w:val="32"/>
          <w:szCs w:val="32"/>
          <w:lang w:eastAsia="zh-CN"/>
        </w:rPr>
        <w:t>（二）</w:t>
      </w:r>
      <w:r>
        <w:rPr>
          <w:rFonts w:ascii="楷体_GB2312" w:hAnsi="楷体_GB2312" w:eastAsia="楷体_GB2312" w:cs="Times New Roman"/>
          <w:b/>
          <w:bCs/>
          <w:sz w:val="32"/>
          <w:szCs w:val="32"/>
        </w:rPr>
        <w:t>第二阶段（</w:t>
      </w:r>
      <w:r>
        <w:rPr>
          <w:rFonts w:eastAsia="楷体_GB2312" w:cs="Times New Roman"/>
          <w:b/>
          <w:bCs/>
          <w:sz w:val="32"/>
          <w:szCs w:val="32"/>
        </w:rPr>
        <w:t>202</w:t>
      </w:r>
      <w:r>
        <w:rPr>
          <w:rFonts w:hint="eastAsia" w:cs="Times New Roman"/>
          <w:b/>
          <w:bCs/>
          <w:sz w:val="32"/>
          <w:szCs w:val="32"/>
        </w:rPr>
        <w:t>4</w:t>
      </w:r>
      <w:r>
        <w:rPr>
          <w:rFonts w:ascii="楷体_GB2312" w:hAnsi="楷体_GB2312" w:eastAsia="楷体_GB2312" w:cs="Times New Roman"/>
          <w:b/>
          <w:bCs/>
          <w:sz w:val="32"/>
          <w:szCs w:val="32"/>
        </w:rPr>
        <w:t>年</w:t>
      </w:r>
      <w:r>
        <w:rPr>
          <w:rFonts w:hint="eastAsia" w:ascii="楷体_GB2312" w:hAnsi="楷体_GB2312" w:eastAsia="楷体_GB2312" w:cs="Times New Roman"/>
          <w:b/>
          <w:bCs/>
          <w:sz w:val="32"/>
          <w:szCs w:val="32"/>
          <w:lang w:val="en-US" w:eastAsia="zh-CN"/>
        </w:rPr>
        <w:t>9</w:t>
      </w:r>
      <w:r>
        <w:rPr>
          <w:rFonts w:ascii="楷体_GB2312" w:hAnsi="楷体_GB2312" w:eastAsia="楷体_GB2312" w:cs="Times New Roman"/>
          <w:b/>
          <w:bCs/>
          <w:sz w:val="32"/>
          <w:szCs w:val="32"/>
        </w:rPr>
        <w:t>月</w:t>
      </w:r>
      <w:r>
        <w:rPr>
          <w:rFonts w:eastAsia="楷体_GB2312" w:cs="Times New Roman"/>
          <w:b/>
          <w:bCs/>
          <w:sz w:val="32"/>
          <w:szCs w:val="32"/>
        </w:rPr>
        <w:t>-202</w:t>
      </w:r>
      <w:r>
        <w:rPr>
          <w:rFonts w:hint="eastAsia" w:cs="Times New Roman"/>
          <w:b/>
          <w:bCs/>
          <w:sz w:val="32"/>
          <w:szCs w:val="32"/>
        </w:rPr>
        <w:t>5</w:t>
      </w:r>
      <w:r>
        <w:rPr>
          <w:rFonts w:ascii="楷体_GB2312" w:hAnsi="楷体_GB2312" w:eastAsia="楷体_GB2312" w:cs="Times New Roman"/>
          <w:b/>
          <w:bCs/>
          <w:sz w:val="32"/>
          <w:szCs w:val="32"/>
        </w:rPr>
        <w:t>年</w:t>
      </w:r>
      <w:r>
        <w:rPr>
          <w:rFonts w:eastAsia="楷体_GB2312" w:cs="Times New Roman"/>
          <w:b/>
          <w:bCs/>
          <w:sz w:val="32"/>
          <w:szCs w:val="32"/>
        </w:rPr>
        <w:t>5</w:t>
      </w:r>
      <w:r>
        <w:rPr>
          <w:rFonts w:ascii="楷体_GB2312" w:hAnsi="楷体_GB2312" w:eastAsia="楷体_GB2312" w:cs="Times New Roman"/>
          <w:b/>
          <w:bCs/>
          <w:sz w:val="32"/>
          <w:szCs w:val="32"/>
        </w:rPr>
        <w:t>月）。</w:t>
      </w:r>
      <w:r>
        <w:rPr>
          <w:rFonts w:ascii="仿宋_GB2312" w:hAnsi="仿宋_GB2312" w:eastAsia="仿宋_GB2312" w:cs="Times New Roman"/>
          <w:sz w:val="32"/>
          <w:szCs w:val="32"/>
        </w:rPr>
        <w:t>制定农技人员岗位责任、工作考评、绩效考核与人员聘用制度，规范农技推广模式。分批、分期、分专业组织技术人员集中异地培训，分级开展以示范户为重点的农业技术培训。技术指导员入户指导，专家组深入一线进行检查，做好相关技术的把关、指导、现场培训和数据资料的收集、记载等；组织召开现场观摩会等</w:t>
      </w:r>
      <w:r>
        <w:rPr>
          <w:rFonts w:hint="eastAsia" w:ascii="宋体" w:hAnsi="宋体"/>
          <w:sz w:val="32"/>
          <w:szCs w:val="32"/>
        </w:rPr>
        <w:t>。</w:t>
      </w:r>
    </w:p>
    <w:p w14:paraId="4271C180">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textAlignment w:val="auto"/>
        <w:rPr>
          <w:rFonts w:eastAsia="黑体" w:cs="Times New Roman"/>
          <w:color w:val="000000"/>
          <w:sz w:val="32"/>
          <w:szCs w:val="32"/>
        </w:rPr>
      </w:pPr>
      <w:r>
        <w:rPr>
          <w:rFonts w:ascii="楷体_GB2312" w:hAnsi="楷体_GB2312" w:eastAsia="楷体_GB2312" w:cs="Times New Roman"/>
          <w:b/>
          <w:bCs/>
          <w:sz w:val="32"/>
          <w:szCs w:val="32"/>
        </w:rPr>
        <w:t>（三）第三阶段（</w:t>
      </w:r>
      <w:r>
        <w:rPr>
          <w:rFonts w:eastAsia="楷体_GB2312" w:cs="Times New Roman"/>
          <w:b/>
          <w:bCs/>
          <w:sz w:val="32"/>
          <w:szCs w:val="32"/>
        </w:rPr>
        <w:t>202</w:t>
      </w:r>
      <w:r>
        <w:rPr>
          <w:rFonts w:hint="eastAsia" w:eastAsia="楷体_GB2312" w:cs="Times New Roman"/>
          <w:b/>
          <w:bCs/>
          <w:sz w:val="32"/>
          <w:szCs w:val="32"/>
        </w:rPr>
        <w:t>5</w:t>
      </w:r>
      <w:r>
        <w:rPr>
          <w:rFonts w:ascii="楷体_GB2312" w:hAnsi="楷体_GB2312" w:eastAsia="楷体_GB2312" w:cs="Times New Roman"/>
          <w:b/>
          <w:bCs/>
          <w:sz w:val="32"/>
          <w:szCs w:val="32"/>
        </w:rPr>
        <w:t>年</w:t>
      </w:r>
      <w:r>
        <w:rPr>
          <w:rFonts w:eastAsia="楷体_GB2312" w:cs="Times New Roman"/>
          <w:b/>
          <w:bCs/>
          <w:sz w:val="32"/>
          <w:szCs w:val="32"/>
        </w:rPr>
        <w:t>6</w:t>
      </w:r>
      <w:r>
        <w:rPr>
          <w:rFonts w:ascii="楷体_GB2312" w:hAnsi="楷体_GB2312" w:eastAsia="楷体_GB2312" w:cs="Times New Roman"/>
          <w:b/>
          <w:bCs/>
          <w:sz w:val="32"/>
          <w:szCs w:val="32"/>
        </w:rPr>
        <w:t>月）。</w:t>
      </w:r>
      <w:r>
        <w:rPr>
          <w:rFonts w:ascii="仿宋_GB2312" w:hAnsi="仿宋_GB2312" w:eastAsia="仿宋_GB2312" w:cs="Times New Roman"/>
          <w:sz w:val="32"/>
          <w:szCs w:val="32"/>
        </w:rPr>
        <w:t>按照项目实施方案的要求，项目领导小组、专家组对示范基地进行考核验收，检查技术人员入户情况；按照上级要求开展农技人员进行绩效考核，根据考核结果兑现奖惩措施；开展财务审计总结验收等工作；认真进行项目总结，形成总结报告</w:t>
      </w:r>
      <w:r>
        <w:rPr>
          <w:rFonts w:hint="eastAsia" w:ascii="宋体" w:hAnsi="宋体"/>
          <w:sz w:val="32"/>
          <w:szCs w:val="32"/>
        </w:rPr>
        <w:t>。</w:t>
      </w:r>
    </w:p>
    <w:p w14:paraId="696D53DB">
      <w:pPr>
        <w:autoSpaceDE w:val="0"/>
        <w:spacing w:line="560" w:lineRule="exact"/>
        <w:ind w:firstLine="800" w:firstLineChars="250"/>
        <w:rPr>
          <w:rFonts w:hint="eastAsia" w:eastAsia="黑体" w:cs="Times New Roman"/>
          <w:color w:val="000000"/>
          <w:sz w:val="32"/>
          <w:szCs w:val="32"/>
        </w:rPr>
      </w:pPr>
      <w:r>
        <w:rPr>
          <w:rFonts w:hint="eastAsia" w:ascii="黑体" w:hAnsi="黑体" w:eastAsia="黑体" w:cs="Times New Roman"/>
          <w:color w:val="000000"/>
          <w:sz w:val="32"/>
          <w:szCs w:val="32"/>
        </w:rPr>
        <w:t>五</w:t>
      </w:r>
      <w:r>
        <w:rPr>
          <w:rFonts w:ascii="黑体" w:hAnsi="黑体" w:eastAsia="黑体" w:cs="Times New Roman"/>
          <w:color w:val="000000"/>
          <w:sz w:val="32"/>
          <w:szCs w:val="32"/>
        </w:rPr>
        <w:t>、</w:t>
      </w:r>
      <w:r>
        <w:rPr>
          <w:rFonts w:hint="eastAsia" w:ascii="黑体" w:hAnsi="黑体" w:eastAsia="黑体" w:cs="Times New Roman"/>
          <w:color w:val="000000"/>
          <w:sz w:val="32"/>
          <w:szCs w:val="32"/>
        </w:rPr>
        <w:t>保障措施</w:t>
      </w:r>
    </w:p>
    <w:p w14:paraId="7E78D35B">
      <w:pPr>
        <w:autoSpaceDE w:val="0"/>
        <w:spacing w:line="560" w:lineRule="exact"/>
        <w:ind w:firstLine="640" w:firstLineChars="200"/>
        <w:rPr>
          <w:rFonts w:eastAsia="仿宋_GB2312" w:cs="Times New Roman"/>
          <w:color w:val="000000"/>
          <w:sz w:val="32"/>
          <w:szCs w:val="32"/>
        </w:rPr>
      </w:pPr>
      <w:r>
        <w:rPr>
          <w:rFonts w:ascii="楷体_GB2312" w:hAnsi="楷体_GB2312" w:eastAsia="楷体_GB2312" w:cs="Times New Roman"/>
          <w:color w:val="000000"/>
          <w:sz w:val="32"/>
          <w:szCs w:val="32"/>
        </w:rPr>
        <w:t>（一）</w:t>
      </w:r>
      <w:r>
        <w:rPr>
          <w:rFonts w:ascii="楷体_GB2312" w:hAnsi="楷体_GB2312" w:eastAsia="楷体_GB2312" w:cs="Times New Roman"/>
          <w:b/>
          <w:bCs/>
          <w:color w:val="000000"/>
          <w:sz w:val="32"/>
          <w:szCs w:val="32"/>
        </w:rPr>
        <w:t>提高认识，加强组织</w:t>
      </w:r>
      <w:r>
        <w:rPr>
          <w:rFonts w:ascii="楷体_GB2312" w:hAnsi="楷体_GB2312" w:eastAsia="楷体_GB2312" w:cs="Times New Roman"/>
          <w:color w:val="000000"/>
          <w:sz w:val="32"/>
          <w:szCs w:val="32"/>
        </w:rPr>
        <w:t>。</w:t>
      </w:r>
      <w:r>
        <w:rPr>
          <w:rFonts w:ascii="仿宋_GB2312" w:hAnsi="仿宋_GB2312" w:eastAsia="仿宋_GB2312" w:cs="Times New Roman"/>
          <w:color w:val="000000"/>
          <w:sz w:val="32"/>
          <w:szCs w:val="32"/>
        </w:rPr>
        <w:t>要充分认识实施好基层农技推广体系改革与建设补助项目对支撑农技推广体</w:t>
      </w:r>
      <w:r>
        <w:rPr>
          <w:rFonts w:ascii="仿宋_GB2312" w:hAnsi="仿宋_GB2312" w:eastAsia="仿宋_GB2312" w:cs="Times New Roman"/>
          <w:color w:val="000000"/>
          <w:spacing w:val="-6"/>
          <w:sz w:val="32"/>
          <w:szCs w:val="32"/>
        </w:rPr>
        <w:t>系发展、高效服务乡村振兴的重要意义，</w:t>
      </w:r>
      <w:r>
        <w:rPr>
          <w:rFonts w:ascii="仿宋_GB2312" w:hAnsi="仿宋_GB2312" w:eastAsia="仿宋_GB2312" w:cs="Times New Roman"/>
          <w:sz w:val="32"/>
          <w:szCs w:val="32"/>
        </w:rPr>
        <w:t>在保障</w:t>
      </w:r>
      <w:r>
        <w:rPr>
          <w:rFonts w:ascii="仿宋_GB2312" w:hAnsi="仿宋_GB2312" w:cs="Times New Roman"/>
          <w:sz w:val="32"/>
          <w:szCs w:val="32"/>
        </w:rPr>
        <w:t>农</w:t>
      </w:r>
      <w:r>
        <w:rPr>
          <w:rFonts w:ascii="仿宋_GB2312" w:hAnsi="仿宋_GB2312" w:eastAsia="仿宋_GB2312" w:cs="Times New Roman"/>
          <w:sz w:val="32"/>
          <w:szCs w:val="32"/>
        </w:rPr>
        <w:t>作物稳产增产、农产品质量安全、农业防灾减灾等方面的重要作用，增强责任感和紧迫感，强化公益性服务责任落实。</w:t>
      </w:r>
      <w:r>
        <w:rPr>
          <w:rFonts w:ascii="仿宋_GB2312" w:hAnsi="仿宋_GB2312" w:eastAsia="仿宋_GB2312" w:cs="Times New Roman"/>
          <w:color w:val="000000"/>
          <w:spacing w:val="-6"/>
          <w:sz w:val="32"/>
          <w:szCs w:val="32"/>
        </w:rPr>
        <w:t>紧紧围绕</w:t>
      </w:r>
      <w:r>
        <w:rPr>
          <w:rFonts w:eastAsia="仿宋_GB2312" w:cs="Times New Roman"/>
          <w:color w:val="000000"/>
          <w:spacing w:val="-6"/>
          <w:sz w:val="32"/>
          <w:szCs w:val="32"/>
        </w:rPr>
        <w:t>202</w:t>
      </w:r>
      <w:r>
        <w:rPr>
          <w:rFonts w:hint="eastAsia" w:cs="Times New Roman"/>
          <w:color w:val="000000"/>
          <w:spacing w:val="-6"/>
          <w:sz w:val="32"/>
          <w:szCs w:val="32"/>
        </w:rPr>
        <w:t>4</w:t>
      </w:r>
      <w:r>
        <w:rPr>
          <w:rFonts w:ascii="仿宋_GB2312" w:hAnsi="仿宋_GB2312" w:eastAsia="仿宋_GB2312" w:cs="Times New Roman"/>
          <w:color w:val="000000"/>
          <w:spacing w:val="-6"/>
          <w:sz w:val="32"/>
          <w:szCs w:val="32"/>
        </w:rPr>
        <w:t>年工作的总体思路和主推技术等重点任务，进一步健全工作组织协调机制，推动政策衔接配套，实现上下协同联动。要成立补助项目实施领导小组，加强沟通协调，明确职责，形成工作合力，发挥最大效能</w:t>
      </w:r>
      <w:r>
        <w:rPr>
          <w:rFonts w:hint="eastAsia" w:ascii="宋体" w:hAnsi="宋体"/>
          <w:color w:val="000000"/>
          <w:spacing w:val="-6"/>
          <w:sz w:val="32"/>
          <w:szCs w:val="32"/>
        </w:rPr>
        <w:t>。</w:t>
      </w:r>
    </w:p>
    <w:p w14:paraId="1132CF80">
      <w:pPr>
        <w:autoSpaceDE w:val="0"/>
        <w:spacing w:line="560" w:lineRule="exact"/>
        <w:ind w:firstLine="643" w:firstLineChars="200"/>
        <w:rPr>
          <w:rFonts w:hint="eastAsia" w:ascii="仿宋_GB2312" w:hAnsi="仿宋_GB2312" w:eastAsia="仿宋_GB2312" w:cs="Times New Roman"/>
          <w:kern w:val="2"/>
          <w:sz w:val="32"/>
          <w:szCs w:val="32"/>
          <w:lang w:val="en-US" w:eastAsia="zh-CN" w:bidi="ar-SA"/>
        </w:rPr>
      </w:pPr>
      <w:r>
        <w:rPr>
          <w:rFonts w:ascii="楷体_GB2312" w:hAnsi="楷体_GB2312" w:eastAsia="楷体_GB2312" w:cs="Times New Roman"/>
          <w:b/>
          <w:bCs/>
          <w:color w:val="000000"/>
          <w:sz w:val="32"/>
          <w:szCs w:val="32"/>
        </w:rPr>
        <w:t>（二）</w:t>
      </w:r>
      <w:r>
        <w:rPr>
          <w:rFonts w:ascii="楷体_GB2312" w:hAnsi="楷体_GB2312" w:eastAsia="楷体_GB2312" w:cs="Times New Roman"/>
          <w:b/>
          <w:bCs/>
          <w:sz w:val="32"/>
          <w:szCs w:val="32"/>
        </w:rPr>
        <w:t>强化管理，综合评估</w:t>
      </w:r>
      <w:r>
        <w:rPr>
          <w:rFonts w:ascii="楷体_GB2312" w:hAnsi="楷体_GB2312" w:eastAsia="楷体_GB2312" w:cs="Times New Roman"/>
          <w:color w:val="000000"/>
          <w:sz w:val="32"/>
          <w:szCs w:val="32"/>
        </w:rPr>
        <w:t>。</w:t>
      </w:r>
      <w:r>
        <w:rPr>
          <w:rFonts w:ascii="仿宋_GB2312" w:hAnsi="仿宋_GB2312" w:eastAsia="仿宋_GB2312" w:cs="Times New Roman"/>
          <w:kern w:val="2"/>
          <w:sz w:val="32"/>
          <w:szCs w:val="32"/>
          <w:lang w:val="en-US" w:eastAsia="zh-CN" w:bidi="ar-SA"/>
        </w:rPr>
        <w:t>补助项目依托“中国农技推广”信息平台实施绩效管理，按照《农业相关转移支付资金绩效管理办法》及有关财务规章制度，细化支出范围，明确资金使用用途，确保专款专用。要建立项目资金使用公示制度，将农牧业科技示范主体、科技示范基地、技术指导员等资金补助信息在一定范围内进行公示，接受监督。对弄虚作假、擅自改变资金用途、挤占挪用的，一经发现取消资格，并按照有关规定严肃查处，追究相关</w:t>
      </w:r>
      <w:r>
        <w:rPr>
          <w:rFonts w:hint="eastAsia" w:ascii="仿宋_GB2312" w:hAnsi="仿宋_GB2312" w:eastAsia="仿宋_GB2312" w:cs="Times New Roman"/>
          <w:kern w:val="2"/>
          <w:sz w:val="32"/>
          <w:szCs w:val="32"/>
          <w:lang w:val="en-US" w:eastAsia="zh-CN" w:bidi="ar-SA"/>
        </w:rPr>
        <w:t>责任。</w:t>
      </w:r>
    </w:p>
    <w:p w14:paraId="1FDD4867">
      <w:pPr>
        <w:autoSpaceDE w:val="0"/>
        <w:spacing w:line="560" w:lineRule="exact"/>
        <w:ind w:firstLine="643" w:firstLineChars="200"/>
        <w:rPr>
          <w:rFonts w:eastAsia="仿宋_GB2312" w:cs="Times New Roman"/>
          <w:color w:val="000000"/>
          <w:sz w:val="32"/>
          <w:szCs w:val="32"/>
        </w:rPr>
      </w:pPr>
      <w:r>
        <w:rPr>
          <w:rFonts w:hint="eastAsia" w:ascii="楷体_GB2312" w:hAnsi="楷体_GB2312" w:eastAsia="楷体_GB2312" w:cs="楷体_GB2312"/>
          <w:b/>
          <w:bCs/>
          <w:color w:val="000000"/>
          <w:sz w:val="32"/>
          <w:szCs w:val="32"/>
        </w:rPr>
        <w:t>（三）</w:t>
      </w:r>
      <w:r>
        <w:rPr>
          <w:rFonts w:ascii="楷体_GB2312" w:hAnsi="楷体_GB2312" w:eastAsia="楷体_GB2312" w:cs="Times New Roman"/>
          <w:b/>
          <w:bCs/>
          <w:sz w:val="32"/>
          <w:szCs w:val="32"/>
        </w:rPr>
        <w:t>做好总结，注重宣传</w:t>
      </w:r>
      <w:r>
        <w:rPr>
          <w:rFonts w:ascii="楷体_GB2312" w:hAnsi="楷体_GB2312" w:cs="Times New Roman"/>
          <w:b/>
          <w:bCs/>
          <w:sz w:val="32"/>
          <w:szCs w:val="32"/>
        </w:rPr>
        <w:t>。</w:t>
      </w:r>
      <w:r>
        <w:rPr>
          <w:rFonts w:ascii="仿宋_GB2312" w:hAnsi="仿宋_GB2312" w:eastAsia="仿宋_GB2312" w:cs="Times New Roman"/>
          <w:kern w:val="2"/>
          <w:sz w:val="32"/>
          <w:szCs w:val="32"/>
          <w:lang w:val="en-US" w:eastAsia="zh-CN" w:bidi="ar-SA"/>
        </w:rPr>
        <w:t>认真总结项目实施过程中的经验做法，宣传推广2024年4月26 日经第十四届全国人民代表大会常务委员会第九次会议第二次修正的《中华人民共和国农业技术推广法》，发掘宣传一批在单产提升、防灾减灾等涌现的经验模式、典型人物和先进事迹。用好广播、电视、报纸等传统媒体和直播、短视频等新媒体形式加强宣传，为农技推广工作营造良好氛围。</w:t>
      </w:r>
    </w:p>
    <w:p w14:paraId="5156180B">
      <w:pPr>
        <w:autoSpaceDE w:val="0"/>
        <w:spacing w:line="560" w:lineRule="exact"/>
        <w:ind w:firstLine="640" w:firstLineChars="200"/>
        <w:rPr>
          <w:rFonts w:eastAsia="仿宋_GB2312" w:cs="Times New Roman"/>
          <w:color w:val="000000"/>
          <w:sz w:val="32"/>
          <w:szCs w:val="32"/>
        </w:rPr>
      </w:pPr>
      <w:r>
        <w:rPr>
          <w:rFonts w:ascii="仿宋_GB2312" w:hAnsi="仿宋_GB2312" w:eastAsia="仿宋_GB2312" w:cs="Times New Roman"/>
          <w:color w:val="000000"/>
          <w:sz w:val="32"/>
          <w:szCs w:val="32"/>
        </w:rPr>
        <w:t>附</w:t>
      </w:r>
      <w:r>
        <w:rPr>
          <w:rFonts w:hint="eastAsia" w:cs="Times New Roman"/>
          <w:color w:val="000000"/>
          <w:sz w:val="32"/>
          <w:szCs w:val="32"/>
          <w:lang w:eastAsia="zh-CN"/>
        </w:rPr>
        <w:t>件</w:t>
      </w:r>
      <w:r>
        <w:rPr>
          <w:rFonts w:ascii="仿宋_GB2312" w:hAnsi="仿宋_GB2312" w:eastAsia="仿宋_GB2312" w:cs="Times New Roman"/>
          <w:color w:val="000000"/>
          <w:sz w:val="32"/>
          <w:szCs w:val="32"/>
        </w:rPr>
        <w:t>：</w:t>
      </w:r>
      <w:r>
        <w:rPr>
          <w:rFonts w:eastAsia="仿宋_GB2312" w:cs="Times New Roman"/>
          <w:color w:val="000000"/>
          <w:sz w:val="32"/>
          <w:szCs w:val="32"/>
        </w:rPr>
        <w:t xml:space="preserve">1. </w:t>
      </w:r>
      <w:r>
        <w:rPr>
          <w:rFonts w:ascii="仿宋_GB2312" w:hAnsi="仿宋_GB2312" w:eastAsia="仿宋_GB2312" w:cs="Times New Roman"/>
          <w:color w:val="000000"/>
          <w:sz w:val="32"/>
          <w:szCs w:val="32"/>
        </w:rPr>
        <w:t>基层农技推广体系改革与建设补助项目领导小</w:t>
      </w:r>
      <w:r>
        <w:rPr>
          <w:rFonts w:hint="eastAsia" w:ascii="宋体" w:hAnsi="宋体"/>
          <w:color w:val="000000"/>
          <w:sz w:val="32"/>
          <w:szCs w:val="32"/>
        </w:rPr>
        <w:t>组</w:t>
      </w:r>
    </w:p>
    <w:p w14:paraId="4CBA11DF">
      <w:pPr>
        <w:numPr>
          <w:ilvl w:val="0"/>
          <w:numId w:val="0"/>
        </w:numPr>
        <w:autoSpaceDE w:val="0"/>
        <w:spacing w:line="560" w:lineRule="exact"/>
        <w:ind w:left="1920" w:leftChars="500" w:hanging="320" w:hangingChars="100"/>
        <w:rPr>
          <w:rFonts w:hint="eastAsia" w:ascii="黑体" w:hAnsi="宋体" w:eastAsia="黑体" w:cs="黑体"/>
          <w:color w:val="000000"/>
          <w:sz w:val="32"/>
          <w:szCs w:val="32"/>
          <w:lang w:bidi="ar"/>
        </w:rPr>
      </w:pPr>
      <w:r>
        <w:rPr>
          <w:rFonts w:hint="eastAsia" w:cs="Times New Roman"/>
          <w:sz w:val="32"/>
          <w:szCs w:val="32"/>
          <w:lang w:val="en-US" w:eastAsia="zh-CN"/>
        </w:rPr>
        <w:t>2.</w:t>
      </w:r>
      <w:r>
        <w:rPr>
          <w:rFonts w:eastAsia="仿宋_GB2312" w:cs="Times New Roman"/>
          <w:sz w:val="32"/>
          <w:szCs w:val="32"/>
        </w:rPr>
        <w:t>202</w:t>
      </w:r>
      <w:r>
        <w:rPr>
          <w:rFonts w:hint="eastAsia" w:cs="Times New Roman"/>
          <w:sz w:val="32"/>
          <w:szCs w:val="32"/>
          <w:lang w:val="en-US" w:eastAsia="zh-CN"/>
        </w:rPr>
        <w:t>4</w:t>
      </w:r>
      <w:r>
        <w:rPr>
          <w:rFonts w:ascii="仿宋_GB2312" w:hAnsi="仿宋_GB2312" w:eastAsia="仿宋_GB2312" w:cs="Times New Roman"/>
          <w:sz w:val="32"/>
          <w:szCs w:val="32"/>
        </w:rPr>
        <w:t>年基层农技推广体系改革与建设补助项目绩</w:t>
      </w:r>
      <w:r>
        <w:rPr>
          <w:rFonts w:hint="eastAsia" w:ascii="宋体" w:hAnsi="宋体"/>
          <w:sz w:val="32"/>
          <w:szCs w:val="32"/>
        </w:rPr>
        <w:t>效</w:t>
      </w:r>
      <w:r>
        <w:rPr>
          <w:rFonts w:ascii="仿宋_GB2312" w:hAnsi="仿宋_GB2312" w:eastAsia="仿宋_GB2312" w:cs="Times New Roman"/>
          <w:sz w:val="32"/>
          <w:szCs w:val="32"/>
        </w:rPr>
        <w:t>考评指标体</w:t>
      </w:r>
      <w:r>
        <w:rPr>
          <w:rFonts w:hint="eastAsia" w:ascii="宋体" w:hAnsi="宋体"/>
          <w:sz w:val="32"/>
          <w:szCs w:val="32"/>
        </w:rPr>
        <w:t>系</w:t>
      </w:r>
    </w:p>
    <w:p w14:paraId="16D5E134">
      <w:pPr>
        <w:spacing w:line="600" w:lineRule="exact"/>
        <w:rPr>
          <w:rFonts w:hint="eastAsia" w:ascii="黑体" w:hAnsi="宋体" w:eastAsia="黑体" w:cs="黑体"/>
          <w:color w:val="000000"/>
          <w:sz w:val="32"/>
          <w:szCs w:val="32"/>
          <w:lang w:bidi="ar"/>
        </w:rPr>
      </w:pPr>
    </w:p>
    <w:p w14:paraId="687276E3">
      <w:pPr>
        <w:spacing w:line="600" w:lineRule="exact"/>
        <w:ind w:firstLine="160" w:firstLineChars="50"/>
        <w:rPr>
          <w:rFonts w:hint="eastAsia" w:ascii="黑体" w:hAnsi="宋体" w:eastAsia="黑体" w:cs="黑体"/>
          <w:color w:val="000000"/>
          <w:sz w:val="32"/>
          <w:szCs w:val="32"/>
          <w:lang w:bidi="ar"/>
        </w:rPr>
      </w:pPr>
      <w:bookmarkStart w:id="0" w:name="_GoBack"/>
      <w:bookmarkEnd w:id="0"/>
    </w:p>
    <w:p w14:paraId="08237D65">
      <w:pPr>
        <w:spacing w:line="600" w:lineRule="exact"/>
        <w:ind w:firstLine="160" w:firstLineChars="50"/>
        <w:rPr>
          <w:rFonts w:hint="eastAsia" w:ascii="黑体" w:hAnsi="宋体" w:eastAsia="黑体" w:cs="黑体"/>
          <w:color w:val="000000"/>
          <w:sz w:val="32"/>
          <w:szCs w:val="32"/>
          <w:lang w:bidi="ar"/>
        </w:rPr>
      </w:pPr>
    </w:p>
    <w:p w14:paraId="704596D9">
      <w:pPr>
        <w:spacing w:line="600" w:lineRule="exact"/>
        <w:ind w:firstLine="160" w:firstLineChars="50"/>
        <w:rPr>
          <w:rFonts w:hint="eastAsia" w:ascii="黑体" w:hAnsi="宋体" w:eastAsia="黑体" w:cs="黑体"/>
          <w:color w:val="000000"/>
          <w:sz w:val="32"/>
          <w:szCs w:val="32"/>
          <w:lang w:bidi="ar"/>
        </w:rPr>
      </w:pPr>
    </w:p>
    <w:p w14:paraId="535FBEF4">
      <w:pPr>
        <w:spacing w:line="600" w:lineRule="exact"/>
        <w:ind w:firstLine="160" w:firstLineChars="50"/>
        <w:rPr>
          <w:rFonts w:hint="eastAsia" w:ascii="仿宋_GB2312" w:hAnsi="仿宋_GB2312" w:eastAsia="仿宋_GB2312" w:cs="仿宋_GB2312"/>
          <w:color w:val="000000"/>
          <w:sz w:val="32"/>
          <w:szCs w:val="32"/>
          <w:lang w:bidi="ar"/>
        </w:rPr>
        <w:sectPr>
          <w:headerReference r:id="rId5" w:type="default"/>
          <w:footerReference r:id="rId6" w:type="default"/>
          <w:pgSz w:w="11906" w:h="16838"/>
          <w:pgMar w:top="2098" w:right="1531" w:bottom="1984" w:left="1531" w:header="851" w:footer="992" w:gutter="0"/>
          <w:pgNumType w:fmt="decimal"/>
          <w:cols w:space="720" w:num="1"/>
          <w:docGrid w:type="lines" w:linePitch="312" w:charSpace="0"/>
        </w:sectPr>
      </w:pPr>
    </w:p>
    <w:p w14:paraId="6E65DF82">
      <w:pPr>
        <w:spacing w:line="600" w:lineRule="exact"/>
        <w:ind w:firstLine="160" w:firstLineChars="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附件1：</w:t>
      </w:r>
    </w:p>
    <w:p w14:paraId="4919817D">
      <w:pPr>
        <w:spacing w:line="600" w:lineRule="exact"/>
        <w:rPr>
          <w:rFonts w:hint="eastAsia" w:ascii="黑体" w:hAnsi="宋体" w:eastAsia="黑体" w:cs="Times New Roman"/>
          <w:color w:val="000000"/>
          <w:sz w:val="32"/>
          <w:szCs w:val="32"/>
        </w:rPr>
      </w:pPr>
      <w:r>
        <w:rPr>
          <w:rFonts w:hint="eastAsia" w:ascii="黑体" w:hAnsi="宋体" w:eastAsia="黑体" w:cs="Times New Roman"/>
          <w:color w:val="000000"/>
          <w:sz w:val="32"/>
          <w:szCs w:val="32"/>
          <w:lang w:bidi="ar"/>
        </w:rPr>
        <w:t xml:space="preserve"> </w:t>
      </w:r>
    </w:p>
    <w:p w14:paraId="40927277">
      <w:pPr>
        <w:spacing w:line="600" w:lineRule="exact"/>
        <w:jc w:val="center"/>
        <w:rPr>
          <w:rFonts w:hint="eastAsia" w:ascii="方正小标宋_GBK" w:hAnsi="方正小标宋_GBK" w:eastAsia="方正小标宋_GBK" w:cs="方正小标宋_GBK"/>
          <w:color w:val="000000"/>
          <w:sz w:val="44"/>
          <w:szCs w:val="44"/>
          <w:lang w:bidi="ar"/>
        </w:rPr>
      </w:pPr>
      <w:r>
        <w:rPr>
          <w:rFonts w:hint="eastAsia" w:ascii="方正小标宋_GBK" w:hAnsi="方正小标宋_GBK" w:eastAsia="方正小标宋_GBK" w:cs="方正小标宋_GBK"/>
          <w:color w:val="000000"/>
          <w:sz w:val="44"/>
          <w:szCs w:val="44"/>
          <w:lang w:bidi="ar"/>
        </w:rPr>
        <w:t>满洲里市2024年基层农技推广体系改革与</w:t>
      </w:r>
    </w:p>
    <w:p w14:paraId="1E5DBFED">
      <w:pPr>
        <w:spacing w:line="60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lang w:bidi="ar"/>
        </w:rPr>
        <w:t>建设补助项目领导小组</w:t>
      </w:r>
    </w:p>
    <w:p w14:paraId="285D39C8">
      <w:pPr>
        <w:spacing w:line="600" w:lineRule="exact"/>
        <w:rPr>
          <w:rFonts w:ascii="仿宋_GB2312" w:hAnsi="Calibri" w:eastAsia="仿宋_GB2312" w:cs="Times New Roman"/>
          <w:color w:val="000000"/>
          <w:sz w:val="32"/>
          <w:szCs w:val="32"/>
        </w:rPr>
      </w:pPr>
      <w:r>
        <w:rPr>
          <w:rFonts w:ascii="仿宋_GB2312" w:hAnsi="Calibri" w:eastAsia="仿宋_GB2312" w:cs="Times New Roman"/>
          <w:color w:val="000000"/>
          <w:sz w:val="32"/>
          <w:szCs w:val="32"/>
          <w:lang w:bidi="ar"/>
        </w:rPr>
        <w:t xml:space="preserve"> </w:t>
      </w:r>
    </w:p>
    <w:p w14:paraId="2FAA65A2">
      <w:pPr>
        <w:spacing w:line="600" w:lineRule="exact"/>
        <w:rPr>
          <w:rFonts w:ascii="仿宋_GB2312" w:hAnsi="Calibri" w:eastAsia="仿宋_GB2312" w:cs="仿宋_GB2312"/>
          <w:color w:val="000000"/>
          <w:sz w:val="32"/>
          <w:szCs w:val="32"/>
        </w:rPr>
      </w:pPr>
      <w:r>
        <w:rPr>
          <w:rFonts w:hint="eastAsia" w:ascii="仿宋_GB2312" w:hAnsi="仿宋_GB2312"/>
          <w:color w:val="000000"/>
          <w:sz w:val="32"/>
          <w:szCs w:val="32"/>
          <w:lang w:bidi="ar"/>
        </w:rPr>
        <w:t>组</w:t>
      </w:r>
      <w:r>
        <w:rPr>
          <w:rFonts w:ascii="仿宋_GB2312" w:hAnsi="Calibri" w:eastAsia="仿宋_GB2312" w:cs="仿宋_GB2312"/>
          <w:color w:val="000000"/>
          <w:sz w:val="32"/>
          <w:szCs w:val="32"/>
          <w:lang w:bidi="ar"/>
        </w:rPr>
        <w:t xml:space="preserve">  </w:t>
      </w:r>
      <w:r>
        <w:rPr>
          <w:rFonts w:hint="eastAsia" w:ascii="仿宋_GB2312" w:hAnsi="仿宋_GB2312"/>
          <w:color w:val="000000"/>
          <w:sz w:val="32"/>
          <w:szCs w:val="32"/>
          <w:lang w:bidi="ar"/>
        </w:rPr>
        <w:t>长：梁</w:t>
      </w:r>
      <w:r>
        <w:rPr>
          <w:rFonts w:ascii="仿宋_GB2312" w:hAnsi="Calibri" w:eastAsia="仿宋_GB2312" w:cs="仿宋_GB2312"/>
          <w:color w:val="000000"/>
          <w:sz w:val="32"/>
          <w:szCs w:val="32"/>
          <w:lang w:bidi="ar"/>
        </w:rPr>
        <w:t xml:space="preserve">  </w:t>
      </w:r>
      <w:r>
        <w:rPr>
          <w:rFonts w:hint="eastAsia" w:ascii="仿宋_GB2312" w:hAnsi="仿宋_GB2312"/>
          <w:color w:val="000000"/>
          <w:sz w:val="32"/>
          <w:szCs w:val="32"/>
          <w:lang w:bidi="ar"/>
        </w:rPr>
        <w:t>鹏</w:t>
      </w:r>
      <w:r>
        <w:rPr>
          <w:rFonts w:ascii="仿宋_GB2312" w:hAnsi="Calibri" w:eastAsia="仿宋_GB2312" w:cs="仿宋_GB2312"/>
          <w:color w:val="000000"/>
          <w:sz w:val="32"/>
          <w:szCs w:val="32"/>
          <w:lang w:bidi="ar"/>
        </w:rPr>
        <w:t xml:space="preserve">    </w:t>
      </w:r>
      <w:r>
        <w:rPr>
          <w:rFonts w:hint="eastAsia" w:ascii="仿宋_GB2312" w:hAnsi="仿宋_GB2312"/>
          <w:color w:val="000000"/>
          <w:sz w:val="32"/>
          <w:szCs w:val="32"/>
          <w:lang w:bidi="ar"/>
        </w:rPr>
        <w:t>满洲里市农牧水利局局长</w:t>
      </w:r>
    </w:p>
    <w:p w14:paraId="0C58048F">
      <w:pPr>
        <w:spacing w:line="600" w:lineRule="exact"/>
        <w:rPr>
          <w:rFonts w:ascii="仿宋_GB2312" w:hAnsi="Calibri" w:eastAsia="仿宋_GB2312" w:cs="仿宋_GB2312"/>
          <w:color w:val="000000"/>
          <w:sz w:val="32"/>
          <w:szCs w:val="32"/>
        </w:rPr>
      </w:pPr>
      <w:r>
        <w:rPr>
          <w:rFonts w:hint="eastAsia" w:ascii="仿宋_GB2312" w:hAnsi="仿宋_GB2312"/>
          <w:color w:val="000000"/>
          <w:sz w:val="32"/>
          <w:szCs w:val="32"/>
          <w:lang w:bidi="ar"/>
        </w:rPr>
        <w:t>副组长：李蒙广</w:t>
      </w:r>
      <w:r>
        <w:rPr>
          <w:rFonts w:ascii="仿宋_GB2312" w:hAnsi="Calibri" w:eastAsia="仿宋_GB2312" w:cs="仿宋_GB2312"/>
          <w:color w:val="000000"/>
          <w:sz w:val="32"/>
          <w:szCs w:val="32"/>
          <w:lang w:bidi="ar"/>
        </w:rPr>
        <w:t xml:space="preserve">    </w:t>
      </w:r>
      <w:r>
        <w:rPr>
          <w:rFonts w:hint="eastAsia" w:ascii="仿宋_GB2312" w:hAnsi="仿宋_GB2312"/>
          <w:color w:val="000000"/>
          <w:sz w:val="32"/>
          <w:szCs w:val="32"/>
          <w:lang w:bidi="ar"/>
        </w:rPr>
        <w:t>满洲里市农牧水利局副局长</w:t>
      </w:r>
    </w:p>
    <w:p w14:paraId="3C3E9B88">
      <w:pPr>
        <w:spacing w:line="600" w:lineRule="exact"/>
        <w:ind w:left="2880" w:hanging="2880" w:hangingChars="900"/>
        <w:rPr>
          <w:rFonts w:hint="eastAsia" w:ascii="仿宋_GB2312" w:hAnsi="Calibri" w:eastAsia="仿宋_GB2312" w:cs="仿宋_GB2312"/>
          <w:color w:val="000000"/>
          <w:sz w:val="32"/>
          <w:szCs w:val="32"/>
        </w:rPr>
      </w:pPr>
      <w:r>
        <w:rPr>
          <w:rFonts w:hint="eastAsia" w:ascii="仿宋_GB2312" w:hAnsi="仿宋_GB2312"/>
          <w:color w:val="000000"/>
          <w:sz w:val="32"/>
          <w:szCs w:val="32"/>
          <w:lang w:bidi="ar"/>
        </w:rPr>
        <w:t>成</w:t>
      </w:r>
      <w:r>
        <w:rPr>
          <w:rFonts w:ascii="仿宋_GB2312" w:hAnsi="Calibri" w:eastAsia="仿宋_GB2312" w:cs="仿宋_GB2312"/>
          <w:color w:val="000000"/>
          <w:sz w:val="32"/>
          <w:szCs w:val="32"/>
          <w:lang w:bidi="ar"/>
        </w:rPr>
        <w:t xml:space="preserve">  </w:t>
      </w:r>
      <w:r>
        <w:rPr>
          <w:rFonts w:hint="eastAsia" w:ascii="仿宋_GB2312" w:hAnsi="仿宋_GB2312"/>
          <w:color w:val="000000"/>
          <w:sz w:val="32"/>
          <w:szCs w:val="32"/>
          <w:lang w:bidi="ar"/>
        </w:rPr>
        <w:t>员：邓卫平</w:t>
      </w:r>
      <w:r>
        <w:rPr>
          <w:rFonts w:ascii="仿宋_GB2312" w:hAnsi="Calibri" w:eastAsia="仿宋_GB2312" w:cs="仿宋_GB2312"/>
          <w:color w:val="000000"/>
          <w:sz w:val="32"/>
          <w:szCs w:val="32"/>
          <w:lang w:bidi="ar"/>
        </w:rPr>
        <w:t xml:space="preserve">    </w:t>
      </w:r>
      <w:r>
        <w:rPr>
          <w:rFonts w:hint="eastAsia" w:ascii="仿宋_GB2312" w:hAnsi="仿宋_GB2312"/>
          <w:color w:val="000000"/>
          <w:sz w:val="32"/>
          <w:szCs w:val="32"/>
          <w:lang w:bidi="ar"/>
        </w:rPr>
        <w:t xml:space="preserve">满洲里市农牧水利局农业科科长  </w:t>
      </w:r>
    </w:p>
    <w:p w14:paraId="7695E609">
      <w:pPr>
        <w:spacing w:line="600" w:lineRule="exact"/>
        <w:ind w:firstLine="1280" w:firstLineChars="400"/>
        <w:rPr>
          <w:rFonts w:hint="eastAsia" w:ascii="仿宋_GB2312" w:hAnsi="Calibri" w:eastAsia="仿宋_GB2312" w:cs="仿宋_GB2312"/>
          <w:color w:val="000000"/>
          <w:sz w:val="32"/>
          <w:szCs w:val="32"/>
          <w:lang w:bidi="ar"/>
        </w:rPr>
      </w:pPr>
      <w:r>
        <w:rPr>
          <w:rFonts w:hint="eastAsia" w:ascii="仿宋_GB2312" w:hAnsi="仿宋_GB2312"/>
          <w:color w:val="000000"/>
          <w:sz w:val="32"/>
          <w:szCs w:val="32"/>
          <w:lang w:bidi="ar"/>
        </w:rPr>
        <w:t>朱</w:t>
      </w:r>
      <w:r>
        <w:rPr>
          <w:rFonts w:hint="eastAsia"/>
          <w:color w:val="000000"/>
          <w:sz w:val="32"/>
          <w:szCs w:val="32"/>
          <w:lang w:val="en-US" w:eastAsia="zh-CN" w:bidi="ar"/>
        </w:rPr>
        <w:t xml:space="preserve"> </w:t>
      </w:r>
      <w:r>
        <w:rPr>
          <w:rFonts w:hint="eastAsia" w:ascii="仿宋_GB2312" w:hAnsi="仿宋_GB2312"/>
          <w:color w:val="000000"/>
          <w:sz w:val="32"/>
          <w:szCs w:val="32"/>
          <w:lang w:bidi="ar"/>
        </w:rPr>
        <w:t xml:space="preserve"> 倩</w:t>
      </w:r>
      <w:r>
        <w:rPr>
          <w:rFonts w:ascii="仿宋_GB2312" w:hAnsi="Calibri" w:eastAsia="仿宋_GB2312" w:cs="仿宋_GB2312"/>
          <w:color w:val="000000"/>
          <w:sz w:val="32"/>
          <w:szCs w:val="32"/>
          <w:lang w:bidi="ar"/>
        </w:rPr>
        <w:t xml:space="preserve">    </w:t>
      </w:r>
      <w:r>
        <w:rPr>
          <w:rFonts w:hint="eastAsia" w:ascii="仿宋_GB2312" w:hAnsi="仿宋_GB2312"/>
          <w:color w:val="000000"/>
          <w:sz w:val="32"/>
          <w:szCs w:val="32"/>
          <w:lang w:bidi="ar"/>
        </w:rPr>
        <w:t xml:space="preserve">满洲里市农牧水利局综合财务科负责人    </w:t>
      </w:r>
    </w:p>
    <w:p w14:paraId="08C57480">
      <w:pPr>
        <w:spacing w:line="600" w:lineRule="exact"/>
        <w:ind w:firstLine="1280" w:firstLineChars="400"/>
        <w:rPr>
          <w:rFonts w:ascii="仿宋_GB2312" w:hAnsi="Calibri" w:eastAsia="仿宋_GB2312" w:cs="仿宋_GB2312"/>
          <w:color w:val="000000"/>
          <w:sz w:val="32"/>
          <w:szCs w:val="32"/>
        </w:rPr>
      </w:pPr>
      <w:r>
        <w:rPr>
          <w:rFonts w:hint="eastAsia" w:ascii="仿宋_GB2312" w:hAnsi="仿宋_GB2312"/>
          <w:color w:val="000000"/>
          <w:sz w:val="32"/>
          <w:szCs w:val="32"/>
          <w:lang w:bidi="ar"/>
        </w:rPr>
        <w:t>刘炳华</w:t>
      </w:r>
      <w:r>
        <w:rPr>
          <w:rFonts w:ascii="仿宋_GB2312" w:hAnsi="Calibri" w:eastAsia="仿宋_GB2312" w:cs="仿宋_GB2312"/>
          <w:color w:val="000000"/>
          <w:sz w:val="32"/>
          <w:szCs w:val="32"/>
          <w:lang w:bidi="ar"/>
        </w:rPr>
        <w:t xml:space="preserve">    </w:t>
      </w:r>
      <w:r>
        <w:rPr>
          <w:rFonts w:hint="eastAsia" w:ascii="仿宋_GB2312" w:hAnsi="仿宋_GB2312"/>
          <w:color w:val="000000"/>
          <w:sz w:val="32"/>
          <w:szCs w:val="32"/>
          <w:lang w:bidi="ar"/>
        </w:rPr>
        <w:t>满洲里市农牧事业服务中心主任</w:t>
      </w:r>
    </w:p>
    <w:p w14:paraId="7F5C33B1">
      <w:pPr>
        <w:spacing w:line="600" w:lineRule="exact"/>
        <w:ind w:left="2880" w:hanging="2880" w:hangingChars="900"/>
        <w:rPr>
          <w:rFonts w:ascii="仿宋_GB2312" w:hAnsi="Calibri" w:eastAsia="仿宋_GB2312" w:cs="仿宋_GB2312"/>
          <w:color w:val="000000"/>
          <w:sz w:val="32"/>
          <w:szCs w:val="32"/>
        </w:rPr>
      </w:pPr>
      <w:r>
        <w:rPr>
          <w:rFonts w:ascii="仿宋_GB2312" w:hAnsi="Calibri" w:eastAsia="仿宋_GB2312" w:cs="仿宋_GB2312"/>
          <w:color w:val="000000"/>
          <w:sz w:val="32"/>
          <w:szCs w:val="32"/>
          <w:lang w:bidi="ar"/>
        </w:rPr>
        <w:t xml:space="preserve">        </w:t>
      </w:r>
      <w:r>
        <w:rPr>
          <w:rFonts w:hint="eastAsia"/>
          <w:color w:val="000000"/>
          <w:sz w:val="32"/>
          <w:szCs w:val="32"/>
          <w:lang w:val="en-US" w:eastAsia="zh-CN" w:bidi="ar"/>
        </w:rPr>
        <w:t>候</w:t>
      </w:r>
      <w:r>
        <w:rPr>
          <w:rFonts w:hint="eastAsia" w:ascii="仿宋_GB2312" w:hAnsi="仿宋_GB2312"/>
          <w:color w:val="000000"/>
          <w:sz w:val="32"/>
          <w:szCs w:val="32"/>
          <w:lang w:bidi="ar"/>
        </w:rPr>
        <w:t>殿文</w:t>
      </w:r>
      <w:r>
        <w:rPr>
          <w:rFonts w:ascii="仿宋_GB2312" w:hAnsi="Calibri" w:eastAsia="仿宋_GB2312" w:cs="仿宋_GB2312"/>
          <w:color w:val="000000"/>
          <w:sz w:val="32"/>
          <w:szCs w:val="32"/>
          <w:lang w:bidi="ar"/>
        </w:rPr>
        <w:t xml:space="preserve">    </w:t>
      </w:r>
      <w:r>
        <w:rPr>
          <w:rFonts w:hint="eastAsia" w:ascii="仿宋_GB2312" w:hAnsi="仿宋_GB2312"/>
          <w:color w:val="000000"/>
          <w:sz w:val="32"/>
          <w:szCs w:val="32"/>
          <w:lang w:bidi="ar"/>
        </w:rPr>
        <w:t>满洲里市动物疫病预防控制中心主任</w:t>
      </w:r>
    </w:p>
    <w:p w14:paraId="41A3988B">
      <w:pPr>
        <w:spacing w:line="600" w:lineRule="exact"/>
        <w:ind w:left="2880" w:hanging="2880" w:hangingChars="900"/>
        <w:rPr>
          <w:rFonts w:ascii="仿宋_GB2312" w:hAnsi="Calibri" w:eastAsia="仿宋_GB2312" w:cs="仿宋_GB2312"/>
          <w:color w:val="000000"/>
          <w:sz w:val="32"/>
          <w:szCs w:val="32"/>
        </w:rPr>
      </w:pPr>
      <w:r>
        <w:rPr>
          <w:rFonts w:ascii="仿宋_GB2312" w:hAnsi="Calibri" w:eastAsia="仿宋_GB2312" w:cs="仿宋_GB2312"/>
          <w:color w:val="000000"/>
          <w:sz w:val="32"/>
          <w:szCs w:val="32"/>
          <w:lang w:bidi="ar"/>
        </w:rPr>
        <w:t xml:space="preserve">    </w:t>
      </w:r>
      <w:r>
        <w:rPr>
          <w:rFonts w:hint="eastAsia" w:ascii="仿宋_GB2312" w:hAnsi="Calibri" w:eastAsia="仿宋_GB2312" w:cs="仿宋_GB2312"/>
          <w:color w:val="000000"/>
          <w:sz w:val="32"/>
          <w:szCs w:val="32"/>
        </w:rPr>
        <w:t xml:space="preserve">    </w:t>
      </w:r>
      <w:r>
        <w:rPr>
          <w:rFonts w:hint="eastAsia" w:ascii="仿宋_GB2312" w:hAnsi="仿宋_GB2312"/>
          <w:color w:val="000000"/>
          <w:sz w:val="32"/>
          <w:szCs w:val="32"/>
          <w:lang w:bidi="ar"/>
        </w:rPr>
        <w:t>曲岩峰</w:t>
      </w:r>
      <w:r>
        <w:rPr>
          <w:rFonts w:ascii="仿宋_GB2312" w:hAnsi="Calibri" w:eastAsia="仿宋_GB2312" w:cs="仿宋_GB2312"/>
          <w:color w:val="000000"/>
          <w:sz w:val="32"/>
          <w:szCs w:val="32"/>
          <w:lang w:bidi="ar"/>
        </w:rPr>
        <w:t xml:space="preserve">    </w:t>
      </w:r>
      <w:r>
        <w:rPr>
          <w:rFonts w:hint="eastAsia" w:ascii="仿宋_GB2312" w:hAnsi="仿宋_GB2312"/>
          <w:color w:val="000000"/>
          <w:sz w:val="32"/>
          <w:szCs w:val="32"/>
          <w:lang w:bidi="ar"/>
        </w:rPr>
        <w:t>满洲里市新开河镇综合保障和技术推广中心主任</w:t>
      </w:r>
      <w:r>
        <w:rPr>
          <w:rFonts w:ascii="仿宋_GB2312" w:hAnsi="Calibri" w:eastAsia="仿宋_GB2312" w:cs="仿宋_GB2312"/>
          <w:color w:val="000000"/>
          <w:sz w:val="32"/>
          <w:szCs w:val="32"/>
          <w:lang w:bidi="ar"/>
        </w:rPr>
        <w:t xml:space="preserve"> </w:t>
      </w:r>
    </w:p>
    <w:p w14:paraId="16DB432F">
      <w:pPr>
        <w:spacing w:line="600" w:lineRule="exact"/>
        <w:ind w:firstLine="640" w:firstLineChars="200"/>
        <w:rPr>
          <w:rFonts w:hint="eastAsia" w:ascii="仿宋_GB2312" w:hAnsi="仿宋_GB2312"/>
          <w:color w:val="000000"/>
          <w:sz w:val="32"/>
          <w:szCs w:val="32"/>
          <w:lang w:eastAsia="zh-CN" w:bidi="ar"/>
        </w:rPr>
      </w:pPr>
      <w:r>
        <w:rPr>
          <w:rFonts w:hint="eastAsia" w:ascii="仿宋_GB2312" w:hAnsi="仿宋_GB2312"/>
          <w:color w:val="000000"/>
          <w:sz w:val="32"/>
          <w:szCs w:val="32"/>
          <w:lang w:bidi="ar"/>
        </w:rPr>
        <w:t>领导小组办公室设在满洲里市农牧水利局农业科，邓卫平兼任办公室主任</w:t>
      </w:r>
      <w:r>
        <w:rPr>
          <w:rFonts w:hint="eastAsia" w:ascii="仿宋_GB2312" w:hAnsi="仿宋_GB2312"/>
          <w:color w:val="000000"/>
          <w:sz w:val="32"/>
          <w:szCs w:val="32"/>
          <w:lang w:eastAsia="zh-CN" w:bidi="ar"/>
        </w:rPr>
        <w:t>。</w:t>
      </w:r>
    </w:p>
    <w:p w14:paraId="0C4FDC5C">
      <w:pPr>
        <w:spacing w:line="600" w:lineRule="exact"/>
        <w:ind w:firstLine="640" w:firstLineChars="200"/>
        <w:rPr>
          <w:rFonts w:hint="eastAsia" w:ascii="仿宋_GB2312" w:hAnsi="仿宋_GB2312"/>
          <w:color w:val="000000"/>
          <w:sz w:val="32"/>
          <w:szCs w:val="32"/>
          <w:lang w:eastAsia="zh-CN" w:bidi="ar"/>
        </w:rPr>
      </w:pPr>
    </w:p>
    <w:p w14:paraId="703EBD6B">
      <w:pPr>
        <w:keepNext w:val="0"/>
        <w:keepLines w:val="0"/>
        <w:pageBreakBefore w:val="0"/>
        <w:wordWrap/>
        <w:overflowPunct/>
        <w:topLinePunct w:val="0"/>
        <w:bidi w:val="0"/>
        <w:spacing w:line="600" w:lineRule="exact"/>
        <w:ind w:firstLine="1600" w:firstLineChars="500"/>
        <w:jc w:val="left"/>
        <w:rPr>
          <w:rFonts w:ascii="仿宋_GB2312" w:hAnsi="仿宋_GB2312" w:eastAsia="仿宋_GB2312" w:cs="仿宋_GB2312"/>
          <w:sz w:val="32"/>
          <w:szCs w:val="32"/>
        </w:rPr>
      </w:pPr>
    </w:p>
    <w:p w14:paraId="40DDC376">
      <w:pPr>
        <w:bidi w:val="0"/>
        <w:rPr>
          <w:rFonts w:ascii="仿宋_GB2312" w:hAnsi="仿宋_GB2312" w:eastAsia="仿宋_GB2312" w:cs="黑体"/>
          <w:kern w:val="2"/>
          <w:sz w:val="32"/>
          <w:szCs w:val="24"/>
          <w:lang w:val="en-US" w:eastAsia="zh-CN" w:bidi="ar-SA"/>
        </w:rPr>
      </w:pPr>
    </w:p>
    <w:p w14:paraId="5491C01A">
      <w:pPr>
        <w:bidi w:val="0"/>
        <w:rPr>
          <w:lang w:val="en-US" w:eastAsia="zh-CN"/>
        </w:rPr>
      </w:pPr>
    </w:p>
    <w:p w14:paraId="52B6B93D">
      <w:pPr>
        <w:bidi w:val="0"/>
        <w:ind w:firstLine="417" w:firstLineChars="0"/>
        <w:jc w:val="left"/>
        <w:rPr>
          <w:lang w:val="en-US" w:eastAsia="zh-CN"/>
        </w:rPr>
        <w:sectPr>
          <w:footerReference r:id="rId7" w:type="default"/>
          <w:pgSz w:w="11906" w:h="16838"/>
          <w:pgMar w:top="2098" w:right="1531" w:bottom="1984" w:left="1531" w:header="851" w:footer="992" w:gutter="0"/>
          <w:pgNumType w:fmt="decimal"/>
          <w:cols w:space="720" w:num="1"/>
          <w:docGrid w:type="lines" w:linePitch="312" w:charSpace="0"/>
        </w:sectPr>
      </w:pPr>
    </w:p>
    <w:p w14:paraId="3625AFBA">
      <w:pPr>
        <w:spacing w:before="101" w:line="230" w:lineRule="auto"/>
        <w:ind w:left="248"/>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附件</w:t>
      </w:r>
      <w:r>
        <w:rPr>
          <w:rFonts w:hint="eastAsia" w:ascii="仿宋_GB2312" w:hAnsi="仿宋_GB2312" w:eastAsia="仿宋_GB2312" w:cs="仿宋_GB2312"/>
          <w:spacing w:val="-67"/>
          <w:sz w:val="32"/>
          <w:szCs w:val="32"/>
        </w:rPr>
        <w:t xml:space="preserve"> </w:t>
      </w:r>
      <w:r>
        <w:rPr>
          <w:rFonts w:hint="eastAsia" w:ascii="仿宋_GB2312" w:hAnsi="仿宋_GB2312" w:eastAsia="仿宋_GB2312" w:cs="仿宋_GB2312"/>
          <w:spacing w:val="-4"/>
          <w:sz w:val="32"/>
          <w:szCs w:val="32"/>
        </w:rPr>
        <w:t>2</w:t>
      </w:r>
    </w:p>
    <w:p w14:paraId="477DABFC">
      <w:pPr>
        <w:spacing w:before="101" w:line="230" w:lineRule="auto"/>
        <w:ind w:left="248"/>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2024年度基层农技推广体系改革与建设补助政策落实延伸绩效管理线下指标体系</w:t>
      </w:r>
    </w:p>
    <w:tbl>
      <w:tblPr>
        <w:tblStyle w:val="20"/>
        <w:tblW w:w="143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1212"/>
        <w:gridCol w:w="1275"/>
        <w:gridCol w:w="456"/>
        <w:gridCol w:w="6912"/>
        <w:gridCol w:w="1559"/>
        <w:gridCol w:w="1700"/>
        <w:gridCol w:w="807"/>
      </w:tblGrid>
      <w:tr w14:paraId="742C11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461" w:type="dxa"/>
            <w:noWrap w:val="0"/>
            <w:textDirection w:val="tbRlV"/>
            <w:vAlign w:val="top"/>
          </w:tcPr>
          <w:p w14:paraId="4F244A79">
            <w:pPr>
              <w:spacing w:before="107" w:line="216" w:lineRule="auto"/>
              <w:ind w:left="38"/>
              <w:rPr>
                <w:rFonts w:ascii="黑体" w:hAnsi="黑体" w:eastAsia="黑体" w:cs="黑体"/>
                <w:sz w:val="23"/>
                <w:szCs w:val="23"/>
              </w:rPr>
            </w:pPr>
            <w:r>
              <w:rPr>
                <w:rFonts w:ascii="黑体" w:hAnsi="黑体" w:eastAsia="黑体" w:cs="黑体"/>
                <w:spacing w:val="13"/>
                <w:sz w:val="23"/>
                <w:szCs w:val="23"/>
              </w:rPr>
              <w:t>序</w:t>
            </w:r>
            <w:r>
              <w:rPr>
                <w:rFonts w:ascii="黑体" w:hAnsi="黑体" w:eastAsia="黑体" w:cs="黑体"/>
                <w:spacing w:val="-59"/>
                <w:sz w:val="23"/>
                <w:szCs w:val="23"/>
              </w:rPr>
              <w:t xml:space="preserve"> </w:t>
            </w:r>
            <w:r>
              <w:rPr>
                <w:rFonts w:ascii="黑体" w:hAnsi="黑体" w:eastAsia="黑体" w:cs="黑体"/>
                <w:spacing w:val="13"/>
                <w:sz w:val="23"/>
                <w:szCs w:val="23"/>
              </w:rPr>
              <w:t>号</w:t>
            </w:r>
          </w:p>
        </w:tc>
        <w:tc>
          <w:tcPr>
            <w:tcW w:w="1212" w:type="dxa"/>
            <w:noWrap w:val="0"/>
            <w:vAlign w:val="top"/>
          </w:tcPr>
          <w:p w14:paraId="393467DA">
            <w:pPr>
              <w:spacing w:before="189" w:line="229" w:lineRule="auto"/>
              <w:ind w:left="133"/>
              <w:rPr>
                <w:rFonts w:ascii="黑体" w:hAnsi="黑体" w:eastAsia="黑体" w:cs="黑体"/>
                <w:sz w:val="23"/>
                <w:szCs w:val="23"/>
              </w:rPr>
            </w:pPr>
            <w:r>
              <w:rPr>
                <w:rFonts w:ascii="黑体" w:hAnsi="黑体" w:eastAsia="黑体" w:cs="黑体"/>
                <w:spacing w:val="6"/>
                <w:sz w:val="23"/>
                <w:szCs w:val="23"/>
              </w:rPr>
              <w:t>一级指标</w:t>
            </w:r>
          </w:p>
        </w:tc>
        <w:tc>
          <w:tcPr>
            <w:tcW w:w="1275" w:type="dxa"/>
            <w:noWrap w:val="0"/>
            <w:vAlign w:val="top"/>
          </w:tcPr>
          <w:p w14:paraId="20D2465A">
            <w:pPr>
              <w:spacing w:before="189" w:line="229" w:lineRule="auto"/>
              <w:ind w:left="164"/>
              <w:rPr>
                <w:rFonts w:ascii="黑体" w:hAnsi="黑体" w:eastAsia="黑体" w:cs="黑体"/>
                <w:sz w:val="23"/>
                <w:szCs w:val="23"/>
              </w:rPr>
            </w:pPr>
            <w:r>
              <w:rPr>
                <w:rFonts w:ascii="黑体" w:hAnsi="黑体" w:eastAsia="黑体" w:cs="黑体"/>
                <w:spacing w:val="6"/>
                <w:sz w:val="23"/>
                <w:szCs w:val="23"/>
              </w:rPr>
              <w:t>二级指标</w:t>
            </w:r>
          </w:p>
        </w:tc>
        <w:tc>
          <w:tcPr>
            <w:tcW w:w="456" w:type="dxa"/>
            <w:noWrap w:val="0"/>
            <w:textDirection w:val="tbRlV"/>
            <w:vAlign w:val="top"/>
          </w:tcPr>
          <w:p w14:paraId="28F75CCF">
            <w:pPr>
              <w:spacing w:before="108" w:line="215" w:lineRule="auto"/>
              <w:ind w:left="38"/>
              <w:rPr>
                <w:rFonts w:ascii="黑体" w:hAnsi="黑体" w:eastAsia="黑体" w:cs="黑体"/>
                <w:sz w:val="23"/>
                <w:szCs w:val="23"/>
              </w:rPr>
            </w:pPr>
            <w:r>
              <w:rPr>
                <w:rFonts w:ascii="黑体" w:hAnsi="黑体" w:eastAsia="黑体" w:cs="黑体"/>
                <w:spacing w:val="13"/>
                <w:sz w:val="23"/>
                <w:szCs w:val="23"/>
              </w:rPr>
              <w:t>分</w:t>
            </w:r>
            <w:r>
              <w:rPr>
                <w:rFonts w:ascii="黑体" w:hAnsi="黑体" w:eastAsia="黑体" w:cs="黑体"/>
                <w:spacing w:val="-59"/>
                <w:sz w:val="23"/>
                <w:szCs w:val="23"/>
              </w:rPr>
              <w:t xml:space="preserve"> </w:t>
            </w:r>
            <w:r>
              <w:rPr>
                <w:rFonts w:ascii="黑体" w:hAnsi="黑体" w:eastAsia="黑体" w:cs="黑体"/>
                <w:spacing w:val="13"/>
                <w:sz w:val="23"/>
                <w:szCs w:val="23"/>
              </w:rPr>
              <w:t>值</w:t>
            </w:r>
          </w:p>
        </w:tc>
        <w:tc>
          <w:tcPr>
            <w:tcW w:w="6912" w:type="dxa"/>
            <w:noWrap w:val="0"/>
            <w:vAlign w:val="top"/>
          </w:tcPr>
          <w:p w14:paraId="022E62E2">
            <w:pPr>
              <w:spacing w:before="189" w:line="230" w:lineRule="auto"/>
              <w:ind w:left="2978"/>
              <w:rPr>
                <w:rFonts w:ascii="黑体" w:hAnsi="黑体" w:eastAsia="黑体" w:cs="黑体"/>
                <w:sz w:val="23"/>
                <w:szCs w:val="23"/>
              </w:rPr>
            </w:pPr>
            <w:r>
              <w:rPr>
                <w:rFonts w:ascii="黑体" w:hAnsi="黑体" w:eastAsia="黑体" w:cs="黑体"/>
                <w:spacing w:val="7"/>
                <w:sz w:val="23"/>
                <w:szCs w:val="23"/>
              </w:rPr>
              <w:t>评分标准</w:t>
            </w:r>
          </w:p>
        </w:tc>
        <w:tc>
          <w:tcPr>
            <w:tcW w:w="1559" w:type="dxa"/>
            <w:noWrap w:val="0"/>
            <w:vAlign w:val="top"/>
          </w:tcPr>
          <w:p w14:paraId="6D133059">
            <w:pPr>
              <w:spacing w:before="189" w:line="230" w:lineRule="auto"/>
              <w:ind w:left="305"/>
              <w:rPr>
                <w:rFonts w:ascii="黑体" w:hAnsi="黑体" w:eastAsia="黑体" w:cs="黑体"/>
                <w:sz w:val="23"/>
                <w:szCs w:val="23"/>
              </w:rPr>
            </w:pPr>
            <w:r>
              <w:rPr>
                <w:rFonts w:ascii="黑体" w:hAnsi="黑体" w:eastAsia="黑体" w:cs="黑体"/>
                <w:spacing w:val="7"/>
                <w:sz w:val="23"/>
                <w:szCs w:val="23"/>
              </w:rPr>
              <w:t>评分依据</w:t>
            </w:r>
          </w:p>
        </w:tc>
        <w:tc>
          <w:tcPr>
            <w:tcW w:w="1700" w:type="dxa"/>
            <w:noWrap w:val="0"/>
            <w:vAlign w:val="top"/>
          </w:tcPr>
          <w:p w14:paraId="20B8F099">
            <w:pPr>
              <w:spacing w:before="38" w:line="225" w:lineRule="auto"/>
              <w:ind w:right="367"/>
              <w:jc w:val="center"/>
              <w:rPr>
                <w:rFonts w:ascii="黑体" w:hAnsi="黑体" w:eastAsia="黑体" w:cs="黑体"/>
                <w:sz w:val="23"/>
                <w:szCs w:val="23"/>
              </w:rPr>
            </w:pPr>
            <w:r>
              <w:rPr>
                <w:rFonts w:ascii="黑体" w:hAnsi="黑体" w:eastAsia="黑体" w:cs="黑体"/>
                <w:spacing w:val="7"/>
                <w:sz w:val="23"/>
                <w:szCs w:val="23"/>
              </w:rPr>
              <w:t>扣分及扣分原由</w:t>
            </w:r>
          </w:p>
        </w:tc>
        <w:tc>
          <w:tcPr>
            <w:tcW w:w="807" w:type="dxa"/>
            <w:noWrap w:val="0"/>
            <w:vAlign w:val="top"/>
          </w:tcPr>
          <w:p w14:paraId="2A135D28">
            <w:pPr>
              <w:spacing w:before="190" w:line="230" w:lineRule="auto"/>
              <w:ind w:left="170"/>
              <w:rPr>
                <w:rFonts w:ascii="黑体" w:hAnsi="黑体" w:eastAsia="黑体" w:cs="黑体"/>
                <w:sz w:val="23"/>
                <w:szCs w:val="23"/>
              </w:rPr>
            </w:pPr>
            <w:r>
              <w:rPr>
                <w:rFonts w:ascii="黑体" w:hAnsi="黑体" w:eastAsia="黑体" w:cs="黑体"/>
                <w:spacing w:val="4"/>
                <w:sz w:val="23"/>
                <w:szCs w:val="23"/>
              </w:rPr>
              <w:t>得分</w:t>
            </w:r>
          </w:p>
        </w:tc>
      </w:tr>
      <w:tr w14:paraId="42181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2" w:hRule="atLeast"/>
        </w:trPr>
        <w:tc>
          <w:tcPr>
            <w:tcW w:w="461" w:type="dxa"/>
            <w:noWrap w:val="0"/>
            <w:vAlign w:val="top"/>
          </w:tcPr>
          <w:p w14:paraId="34F2A224">
            <w:pPr>
              <w:spacing w:line="299" w:lineRule="auto"/>
              <w:rPr>
                <w:rFonts w:ascii="Arial"/>
                <w:sz w:val="21"/>
              </w:rPr>
            </w:pPr>
          </w:p>
          <w:p w14:paraId="0D05BA2D">
            <w:pPr>
              <w:spacing w:line="299" w:lineRule="auto"/>
              <w:rPr>
                <w:rFonts w:ascii="Arial"/>
                <w:sz w:val="21"/>
              </w:rPr>
            </w:pPr>
          </w:p>
          <w:p w14:paraId="2700A9E3">
            <w:pPr>
              <w:pStyle w:val="21"/>
              <w:spacing w:before="66" w:line="195" w:lineRule="auto"/>
              <w:ind w:left="196"/>
              <w:rPr>
                <w:sz w:val="23"/>
                <w:szCs w:val="23"/>
              </w:rPr>
            </w:pPr>
            <w:r>
              <w:rPr>
                <w:sz w:val="23"/>
                <w:szCs w:val="23"/>
              </w:rPr>
              <w:t>1</w:t>
            </w:r>
          </w:p>
        </w:tc>
        <w:tc>
          <w:tcPr>
            <w:tcW w:w="1212" w:type="dxa"/>
            <w:vMerge w:val="restart"/>
            <w:tcBorders>
              <w:bottom w:val="nil"/>
            </w:tcBorders>
            <w:noWrap w:val="0"/>
            <w:vAlign w:val="top"/>
          </w:tcPr>
          <w:p w14:paraId="42B8DAC4">
            <w:pPr>
              <w:spacing w:line="254" w:lineRule="auto"/>
              <w:rPr>
                <w:rFonts w:ascii="Arial"/>
                <w:sz w:val="21"/>
              </w:rPr>
            </w:pPr>
          </w:p>
          <w:p w14:paraId="38DF7862">
            <w:pPr>
              <w:spacing w:line="254" w:lineRule="auto"/>
              <w:rPr>
                <w:rFonts w:ascii="Arial"/>
                <w:sz w:val="21"/>
              </w:rPr>
            </w:pPr>
          </w:p>
          <w:p w14:paraId="631F5724">
            <w:pPr>
              <w:spacing w:line="254" w:lineRule="auto"/>
              <w:rPr>
                <w:rFonts w:ascii="Arial"/>
                <w:sz w:val="21"/>
              </w:rPr>
            </w:pPr>
          </w:p>
          <w:p w14:paraId="4383BC2B">
            <w:pPr>
              <w:spacing w:line="254" w:lineRule="auto"/>
              <w:rPr>
                <w:rFonts w:ascii="Arial"/>
                <w:sz w:val="21"/>
              </w:rPr>
            </w:pPr>
          </w:p>
          <w:p w14:paraId="1223E4BD">
            <w:pPr>
              <w:spacing w:line="254" w:lineRule="auto"/>
              <w:rPr>
                <w:rFonts w:ascii="Arial"/>
                <w:sz w:val="21"/>
              </w:rPr>
            </w:pPr>
          </w:p>
          <w:p w14:paraId="2ABB75AA">
            <w:pPr>
              <w:spacing w:line="254" w:lineRule="auto"/>
              <w:rPr>
                <w:rFonts w:ascii="Arial"/>
                <w:sz w:val="21"/>
              </w:rPr>
            </w:pPr>
          </w:p>
          <w:p w14:paraId="4F3DD4E3">
            <w:pPr>
              <w:spacing w:line="254" w:lineRule="auto"/>
              <w:rPr>
                <w:rFonts w:ascii="Arial"/>
                <w:sz w:val="21"/>
              </w:rPr>
            </w:pPr>
          </w:p>
          <w:p w14:paraId="206874EA">
            <w:pPr>
              <w:spacing w:line="254" w:lineRule="auto"/>
              <w:rPr>
                <w:rFonts w:ascii="Arial"/>
                <w:sz w:val="21"/>
              </w:rPr>
            </w:pPr>
          </w:p>
          <w:p w14:paraId="190F3D69">
            <w:pPr>
              <w:spacing w:line="254" w:lineRule="auto"/>
              <w:rPr>
                <w:rFonts w:ascii="Arial"/>
                <w:sz w:val="21"/>
              </w:rPr>
            </w:pPr>
          </w:p>
          <w:p w14:paraId="76F9B500">
            <w:pPr>
              <w:spacing w:line="254" w:lineRule="auto"/>
              <w:rPr>
                <w:rFonts w:ascii="Arial"/>
                <w:sz w:val="21"/>
              </w:rPr>
            </w:pPr>
          </w:p>
          <w:p w14:paraId="79165623">
            <w:pPr>
              <w:spacing w:line="254" w:lineRule="auto"/>
              <w:rPr>
                <w:rFonts w:ascii="Arial"/>
                <w:sz w:val="21"/>
              </w:rPr>
            </w:pPr>
          </w:p>
          <w:p w14:paraId="31122A4B">
            <w:pPr>
              <w:pStyle w:val="21"/>
              <w:spacing w:before="75" w:line="233" w:lineRule="auto"/>
              <w:ind w:left="108" w:right="88" w:firstLine="31"/>
              <w:rPr>
                <w:rFonts w:ascii="FangSong_GB2312" w:hAnsi="FangSong_GB2312" w:eastAsia="FangSong_GB2312" w:cs="FangSong_GB2312"/>
                <w:sz w:val="23"/>
                <w:szCs w:val="23"/>
              </w:rPr>
            </w:pPr>
            <w:r>
              <w:rPr>
                <w:rFonts w:ascii="FangSong_GB2312" w:hAnsi="FangSong_GB2312" w:eastAsia="FangSong_GB2312" w:cs="FangSong_GB2312"/>
                <w:spacing w:val="5"/>
                <w:sz w:val="23"/>
                <w:szCs w:val="23"/>
              </w:rPr>
              <w:t>重点工作</w:t>
            </w:r>
            <w:r>
              <w:rPr>
                <w:rFonts w:ascii="FangSong_GB2312" w:hAnsi="FangSong_GB2312" w:eastAsia="FangSong_GB2312" w:cs="FangSong_GB2312"/>
                <w:sz w:val="23"/>
                <w:szCs w:val="23"/>
              </w:rPr>
              <w:t xml:space="preserve"> </w:t>
            </w:r>
            <w:r>
              <w:rPr>
                <w:rFonts w:hint="eastAsia" w:ascii="FangSong_GB2312" w:hAnsi="FangSong_GB2312" w:eastAsia="FangSong_GB2312" w:cs="FangSong_GB2312"/>
                <w:sz w:val="23"/>
                <w:szCs w:val="23"/>
                <w:lang w:val="en-US" w:eastAsia="zh-CN"/>
              </w:rPr>
              <w:t>(</w:t>
            </w:r>
            <w:r>
              <w:rPr>
                <w:spacing w:val="3"/>
                <w:sz w:val="23"/>
                <w:szCs w:val="23"/>
              </w:rPr>
              <w:t>80</w:t>
            </w:r>
            <w:r>
              <w:rPr>
                <w:rFonts w:ascii="FangSong_GB2312" w:hAnsi="FangSong_GB2312" w:eastAsia="FangSong_GB2312" w:cs="FangSong_GB2312"/>
                <w:spacing w:val="3"/>
                <w:sz w:val="23"/>
                <w:szCs w:val="23"/>
              </w:rPr>
              <w:t>分）</w:t>
            </w:r>
          </w:p>
        </w:tc>
        <w:tc>
          <w:tcPr>
            <w:tcW w:w="1275" w:type="dxa"/>
            <w:noWrap w:val="0"/>
            <w:vAlign w:val="top"/>
          </w:tcPr>
          <w:p w14:paraId="064D15D8">
            <w:pPr>
              <w:spacing w:before="179" w:line="225" w:lineRule="auto"/>
              <w:ind w:left="156"/>
              <w:rPr>
                <w:rFonts w:ascii="FangSong_GB2312" w:hAnsi="FangSong_GB2312" w:eastAsia="FangSong_GB2312" w:cs="FangSong_GB2312"/>
                <w:sz w:val="23"/>
                <w:szCs w:val="23"/>
              </w:rPr>
            </w:pPr>
            <w:r>
              <w:rPr>
                <w:rFonts w:ascii="FangSong_GB2312" w:hAnsi="FangSong_GB2312" w:eastAsia="FangSong_GB2312" w:cs="FangSong_GB2312"/>
                <w:spacing w:val="8"/>
                <w:sz w:val="23"/>
                <w:szCs w:val="23"/>
              </w:rPr>
              <w:t>基层农技</w:t>
            </w:r>
          </w:p>
          <w:p w14:paraId="2324C6F2">
            <w:pPr>
              <w:spacing w:before="19" w:line="222" w:lineRule="auto"/>
              <w:ind w:left="160"/>
              <w:rPr>
                <w:rFonts w:ascii="FangSong_GB2312" w:hAnsi="FangSong_GB2312" w:eastAsia="FangSong_GB2312" w:cs="FangSong_GB2312"/>
                <w:sz w:val="23"/>
                <w:szCs w:val="23"/>
              </w:rPr>
            </w:pPr>
            <w:r>
              <w:rPr>
                <w:rFonts w:ascii="FangSong_GB2312" w:hAnsi="FangSong_GB2312" w:eastAsia="FangSong_GB2312" w:cs="FangSong_GB2312"/>
                <w:spacing w:val="7"/>
                <w:sz w:val="23"/>
                <w:szCs w:val="23"/>
              </w:rPr>
              <w:t>推广机构</w:t>
            </w:r>
          </w:p>
          <w:p w14:paraId="5B5D056D">
            <w:pPr>
              <w:spacing w:before="22" w:line="222" w:lineRule="auto"/>
              <w:ind w:left="158"/>
              <w:rPr>
                <w:rFonts w:ascii="FangSong_GB2312" w:hAnsi="FangSong_GB2312" w:eastAsia="FangSong_GB2312" w:cs="FangSong_GB2312"/>
                <w:sz w:val="23"/>
                <w:szCs w:val="23"/>
              </w:rPr>
            </w:pPr>
            <w:r>
              <w:rPr>
                <w:rFonts w:ascii="FangSong_GB2312" w:hAnsi="FangSong_GB2312" w:eastAsia="FangSong_GB2312" w:cs="FangSong_GB2312"/>
                <w:spacing w:val="8"/>
                <w:sz w:val="23"/>
                <w:szCs w:val="23"/>
              </w:rPr>
              <w:t>标准化建</w:t>
            </w:r>
          </w:p>
          <w:p w14:paraId="1D3AB2CF">
            <w:pPr>
              <w:spacing w:before="23" w:line="226" w:lineRule="auto"/>
              <w:ind w:left="520"/>
              <w:rPr>
                <w:rFonts w:ascii="FangSong_GB2312" w:hAnsi="FangSong_GB2312" w:eastAsia="FangSong_GB2312" w:cs="FangSong_GB2312"/>
                <w:sz w:val="23"/>
                <w:szCs w:val="23"/>
              </w:rPr>
            </w:pPr>
            <w:r>
              <w:rPr>
                <w:rFonts w:ascii="FangSong_GB2312" w:hAnsi="FangSong_GB2312" w:eastAsia="FangSong_GB2312" w:cs="FangSong_GB2312"/>
                <w:sz w:val="23"/>
                <w:szCs w:val="23"/>
              </w:rPr>
              <w:t>设</w:t>
            </w:r>
          </w:p>
        </w:tc>
        <w:tc>
          <w:tcPr>
            <w:tcW w:w="456" w:type="dxa"/>
            <w:noWrap w:val="0"/>
            <w:vAlign w:val="top"/>
          </w:tcPr>
          <w:p w14:paraId="6C81245A">
            <w:pPr>
              <w:spacing w:line="301" w:lineRule="auto"/>
              <w:rPr>
                <w:rFonts w:ascii="Arial"/>
                <w:sz w:val="21"/>
              </w:rPr>
            </w:pPr>
          </w:p>
          <w:p w14:paraId="6F533E0A">
            <w:pPr>
              <w:spacing w:line="301" w:lineRule="auto"/>
              <w:rPr>
                <w:rFonts w:ascii="Arial"/>
                <w:sz w:val="21"/>
              </w:rPr>
            </w:pPr>
          </w:p>
          <w:p w14:paraId="0D8E7DA1">
            <w:pPr>
              <w:pStyle w:val="21"/>
              <w:spacing w:before="66" w:line="191" w:lineRule="auto"/>
              <w:ind w:left="174"/>
              <w:rPr>
                <w:sz w:val="23"/>
                <w:szCs w:val="23"/>
              </w:rPr>
            </w:pPr>
            <w:r>
              <w:rPr>
                <w:sz w:val="23"/>
                <w:szCs w:val="23"/>
              </w:rPr>
              <w:t>5</w:t>
            </w:r>
          </w:p>
        </w:tc>
        <w:tc>
          <w:tcPr>
            <w:tcW w:w="6912" w:type="dxa"/>
            <w:noWrap w:val="0"/>
            <w:vAlign w:val="top"/>
          </w:tcPr>
          <w:p w14:paraId="34694B44">
            <w:pPr>
              <w:pStyle w:val="21"/>
              <w:spacing w:before="179" w:line="231" w:lineRule="auto"/>
              <w:ind w:left="111" w:right="106" w:firstLine="18"/>
              <w:rPr>
                <w:rFonts w:ascii="FangSong_GB2312" w:hAnsi="FangSong_GB2312" w:eastAsia="FangSong_GB2312" w:cs="FangSong_GB2312"/>
                <w:sz w:val="23"/>
                <w:szCs w:val="23"/>
              </w:rPr>
            </w:pPr>
            <w:r>
              <w:rPr>
                <w:spacing w:val="4"/>
                <w:sz w:val="23"/>
                <w:szCs w:val="23"/>
              </w:rPr>
              <w:t>1</w:t>
            </w:r>
            <w:r>
              <w:rPr>
                <w:rFonts w:ascii="FangSong_GB2312" w:hAnsi="FangSong_GB2312" w:eastAsia="FangSong_GB2312" w:cs="FangSong_GB2312"/>
                <w:spacing w:val="4"/>
                <w:sz w:val="23"/>
                <w:szCs w:val="23"/>
              </w:rPr>
              <w:t>、使用</w:t>
            </w:r>
            <w:r>
              <w:rPr>
                <w:spacing w:val="4"/>
                <w:sz w:val="23"/>
                <w:szCs w:val="23"/>
              </w:rPr>
              <w:t>“</w:t>
            </w:r>
            <w:r>
              <w:rPr>
                <w:rFonts w:ascii="FangSong_GB2312" w:hAnsi="FangSong_GB2312" w:eastAsia="FangSong_GB2312" w:cs="FangSong_GB2312"/>
                <w:spacing w:val="4"/>
                <w:sz w:val="23"/>
                <w:szCs w:val="23"/>
              </w:rPr>
              <w:t>中国农技推广</w:t>
            </w:r>
            <w:r>
              <w:rPr>
                <w:spacing w:val="4"/>
                <w:sz w:val="23"/>
                <w:szCs w:val="23"/>
              </w:rPr>
              <w:t>”</w:t>
            </w:r>
            <w:r>
              <w:rPr>
                <w:rFonts w:ascii="FangSong_GB2312" w:hAnsi="FangSong_GB2312" w:eastAsia="FangSong_GB2312" w:cs="FangSong_GB2312"/>
                <w:spacing w:val="4"/>
                <w:sz w:val="23"/>
                <w:szCs w:val="23"/>
              </w:rPr>
              <w:t>标识共</w:t>
            </w:r>
            <w:r>
              <w:rPr>
                <w:rFonts w:ascii="FangSong_GB2312" w:hAnsi="FangSong_GB2312" w:eastAsia="FangSong_GB2312" w:cs="FangSong_GB2312"/>
                <w:spacing w:val="-50"/>
                <w:sz w:val="23"/>
                <w:szCs w:val="23"/>
              </w:rPr>
              <w:t xml:space="preserve"> </w:t>
            </w:r>
            <w:r>
              <w:rPr>
                <w:spacing w:val="4"/>
                <w:sz w:val="23"/>
                <w:szCs w:val="23"/>
              </w:rPr>
              <w:t xml:space="preserve">2 </w:t>
            </w:r>
            <w:r>
              <w:rPr>
                <w:rFonts w:ascii="FangSong_GB2312" w:hAnsi="FangSong_GB2312" w:eastAsia="FangSong_GB2312" w:cs="FangSong_GB2312"/>
                <w:spacing w:val="4"/>
                <w:sz w:val="23"/>
                <w:szCs w:val="23"/>
              </w:rPr>
              <w:t>分，全部机构使用得</w:t>
            </w:r>
            <w:r>
              <w:rPr>
                <w:rFonts w:ascii="FangSong_GB2312" w:hAnsi="FangSong_GB2312" w:eastAsia="FangSong_GB2312" w:cs="FangSong_GB2312"/>
                <w:spacing w:val="-49"/>
                <w:sz w:val="23"/>
                <w:szCs w:val="23"/>
              </w:rPr>
              <w:t xml:space="preserve"> </w:t>
            </w:r>
            <w:r>
              <w:rPr>
                <w:spacing w:val="4"/>
                <w:sz w:val="23"/>
                <w:szCs w:val="23"/>
              </w:rPr>
              <w:t xml:space="preserve">2 </w:t>
            </w:r>
            <w:r>
              <w:rPr>
                <w:rFonts w:ascii="FangSong_GB2312" w:hAnsi="FangSong_GB2312" w:eastAsia="FangSong_GB2312" w:cs="FangSong_GB2312"/>
                <w:spacing w:val="3"/>
                <w:sz w:val="23"/>
                <w:szCs w:val="23"/>
              </w:rPr>
              <w:t>分，有机</w:t>
            </w:r>
            <w:r>
              <w:rPr>
                <w:rFonts w:ascii="FangSong_GB2312" w:hAnsi="FangSong_GB2312" w:eastAsia="FangSong_GB2312" w:cs="FangSong_GB2312"/>
                <w:sz w:val="23"/>
                <w:szCs w:val="23"/>
              </w:rPr>
              <w:t xml:space="preserve"> 构未使用不得分；</w:t>
            </w:r>
          </w:p>
          <w:p w14:paraId="3DA8ECC2">
            <w:pPr>
              <w:pStyle w:val="21"/>
              <w:spacing w:before="23" w:line="233" w:lineRule="auto"/>
              <w:ind w:left="113" w:right="106" w:hanging="6"/>
              <w:rPr>
                <w:rFonts w:ascii="FangSong_GB2312" w:hAnsi="FangSong_GB2312" w:eastAsia="FangSong_GB2312" w:cs="FangSong_GB2312"/>
                <w:sz w:val="23"/>
                <w:szCs w:val="23"/>
              </w:rPr>
            </w:pPr>
            <w:r>
              <w:rPr>
                <w:spacing w:val="12"/>
                <w:sz w:val="23"/>
                <w:szCs w:val="23"/>
              </w:rPr>
              <w:t>2</w:t>
            </w:r>
            <w:r>
              <w:rPr>
                <w:rFonts w:ascii="FangSong_GB2312" w:hAnsi="FangSong_GB2312" w:eastAsia="FangSong_GB2312" w:cs="FangSong_GB2312"/>
                <w:spacing w:val="12"/>
                <w:sz w:val="23"/>
                <w:szCs w:val="23"/>
              </w:rPr>
              <w:t>、配备必要业务用房和仪器设备共</w:t>
            </w:r>
            <w:r>
              <w:rPr>
                <w:rFonts w:ascii="FangSong_GB2312" w:hAnsi="FangSong_GB2312" w:eastAsia="FangSong_GB2312" w:cs="FangSong_GB2312"/>
                <w:spacing w:val="-40"/>
                <w:sz w:val="23"/>
                <w:szCs w:val="23"/>
              </w:rPr>
              <w:t xml:space="preserve"> </w:t>
            </w:r>
            <w:r>
              <w:rPr>
                <w:spacing w:val="12"/>
                <w:sz w:val="23"/>
                <w:szCs w:val="23"/>
              </w:rPr>
              <w:t>3</w:t>
            </w:r>
            <w:r>
              <w:rPr>
                <w:spacing w:val="18"/>
                <w:w w:val="101"/>
                <w:sz w:val="23"/>
                <w:szCs w:val="23"/>
              </w:rPr>
              <w:t xml:space="preserve"> </w:t>
            </w:r>
            <w:r>
              <w:rPr>
                <w:rFonts w:ascii="FangSong_GB2312" w:hAnsi="FangSong_GB2312" w:eastAsia="FangSong_GB2312" w:cs="FangSong_GB2312"/>
                <w:spacing w:val="12"/>
                <w:sz w:val="23"/>
                <w:szCs w:val="23"/>
              </w:rPr>
              <w:t>分，综合考虑</w:t>
            </w:r>
            <w:r>
              <w:rPr>
                <w:rFonts w:ascii="FangSong_GB2312" w:hAnsi="FangSong_GB2312" w:eastAsia="FangSong_GB2312" w:cs="FangSong_GB2312"/>
                <w:spacing w:val="11"/>
                <w:sz w:val="23"/>
                <w:szCs w:val="23"/>
              </w:rPr>
              <w:t>实际情况打</w:t>
            </w:r>
            <w:r>
              <w:rPr>
                <w:rFonts w:ascii="FangSong_GB2312" w:hAnsi="FangSong_GB2312" w:eastAsia="FangSong_GB2312" w:cs="FangSong_GB2312"/>
                <w:spacing w:val="-12"/>
                <w:sz w:val="23"/>
                <w:szCs w:val="23"/>
              </w:rPr>
              <w:t>分。</w:t>
            </w:r>
          </w:p>
        </w:tc>
        <w:tc>
          <w:tcPr>
            <w:tcW w:w="1559" w:type="dxa"/>
            <w:vMerge w:val="restart"/>
            <w:tcBorders>
              <w:bottom w:val="nil"/>
            </w:tcBorders>
            <w:noWrap w:val="0"/>
            <w:vAlign w:val="top"/>
          </w:tcPr>
          <w:p w14:paraId="263E1C04">
            <w:pPr>
              <w:spacing w:line="244" w:lineRule="auto"/>
              <w:rPr>
                <w:rFonts w:ascii="Arial"/>
                <w:sz w:val="21"/>
              </w:rPr>
            </w:pPr>
          </w:p>
          <w:p w14:paraId="2B70B662">
            <w:pPr>
              <w:spacing w:line="244" w:lineRule="auto"/>
              <w:rPr>
                <w:rFonts w:ascii="Arial"/>
                <w:sz w:val="21"/>
              </w:rPr>
            </w:pPr>
          </w:p>
          <w:p w14:paraId="77544DA9">
            <w:pPr>
              <w:spacing w:line="244" w:lineRule="auto"/>
              <w:rPr>
                <w:rFonts w:ascii="Arial"/>
                <w:sz w:val="21"/>
              </w:rPr>
            </w:pPr>
          </w:p>
          <w:p w14:paraId="4B70D9EB">
            <w:pPr>
              <w:spacing w:line="244" w:lineRule="auto"/>
              <w:rPr>
                <w:rFonts w:ascii="Arial"/>
                <w:sz w:val="21"/>
              </w:rPr>
            </w:pPr>
          </w:p>
          <w:p w14:paraId="645ED770">
            <w:pPr>
              <w:spacing w:line="244" w:lineRule="auto"/>
              <w:rPr>
                <w:rFonts w:ascii="Arial"/>
                <w:sz w:val="21"/>
              </w:rPr>
            </w:pPr>
          </w:p>
          <w:p w14:paraId="5AE9C09C">
            <w:pPr>
              <w:spacing w:line="244" w:lineRule="auto"/>
              <w:rPr>
                <w:rFonts w:ascii="Arial"/>
                <w:sz w:val="21"/>
              </w:rPr>
            </w:pPr>
          </w:p>
          <w:p w14:paraId="627673C5">
            <w:pPr>
              <w:spacing w:line="245" w:lineRule="auto"/>
              <w:rPr>
                <w:rFonts w:ascii="Arial"/>
                <w:sz w:val="21"/>
              </w:rPr>
            </w:pPr>
          </w:p>
          <w:p w14:paraId="493E92A6">
            <w:pPr>
              <w:spacing w:line="245" w:lineRule="auto"/>
              <w:rPr>
                <w:rFonts w:ascii="Arial"/>
                <w:sz w:val="21"/>
              </w:rPr>
            </w:pPr>
          </w:p>
          <w:p w14:paraId="2DE81CD9">
            <w:pPr>
              <w:spacing w:line="245" w:lineRule="auto"/>
              <w:rPr>
                <w:rFonts w:ascii="Arial"/>
                <w:sz w:val="21"/>
              </w:rPr>
            </w:pPr>
          </w:p>
          <w:p w14:paraId="7A64D877">
            <w:pPr>
              <w:pStyle w:val="21"/>
              <w:spacing w:before="75" w:line="238" w:lineRule="auto"/>
              <w:ind w:left="115" w:right="143" w:hanging="5"/>
              <w:jc w:val="both"/>
              <w:rPr>
                <w:rFonts w:ascii="FangSong_GB2312" w:hAnsi="FangSong_GB2312" w:eastAsia="FangSong_GB2312" w:cs="FangSong_GB2312"/>
                <w:sz w:val="23"/>
                <w:szCs w:val="23"/>
              </w:rPr>
            </w:pPr>
            <w:r>
              <w:rPr>
                <w:rFonts w:ascii="FangSong_GB2312" w:hAnsi="FangSong_GB2312" w:eastAsia="FangSong_GB2312" w:cs="FangSong_GB2312"/>
                <w:spacing w:val="7"/>
                <w:sz w:val="23"/>
                <w:szCs w:val="23"/>
              </w:rPr>
              <w:t>依据</w:t>
            </w:r>
            <w:r>
              <w:rPr>
                <w:spacing w:val="7"/>
                <w:sz w:val="23"/>
                <w:szCs w:val="23"/>
              </w:rPr>
              <w:t>“</w:t>
            </w:r>
            <w:r>
              <w:rPr>
                <w:rFonts w:ascii="FangSong_GB2312" w:hAnsi="FangSong_GB2312" w:eastAsia="FangSong_GB2312" w:cs="FangSong_GB2312"/>
                <w:spacing w:val="7"/>
                <w:sz w:val="23"/>
                <w:szCs w:val="23"/>
              </w:rPr>
              <w:t>中国农</w:t>
            </w:r>
            <w:r>
              <w:rPr>
                <w:rFonts w:ascii="FangSong_GB2312" w:hAnsi="FangSong_GB2312" w:eastAsia="FangSong_GB2312" w:cs="FangSong_GB2312"/>
                <w:spacing w:val="4"/>
                <w:sz w:val="23"/>
                <w:szCs w:val="23"/>
              </w:rPr>
              <w:t xml:space="preserve"> </w:t>
            </w:r>
            <w:r>
              <w:rPr>
                <w:rFonts w:ascii="FangSong_GB2312" w:hAnsi="FangSong_GB2312" w:eastAsia="FangSong_GB2312" w:cs="FangSong_GB2312"/>
                <w:spacing w:val="7"/>
                <w:sz w:val="23"/>
                <w:szCs w:val="23"/>
              </w:rPr>
              <w:t>技推广信息</w:t>
            </w:r>
            <w:r>
              <w:rPr>
                <w:rFonts w:ascii="FangSong_GB2312" w:hAnsi="FangSong_GB2312" w:eastAsia="FangSong_GB2312" w:cs="FangSong_GB2312"/>
                <w:spacing w:val="1"/>
                <w:sz w:val="23"/>
                <w:szCs w:val="23"/>
              </w:rPr>
              <w:t xml:space="preserve">  </w:t>
            </w:r>
            <w:r>
              <w:rPr>
                <w:rFonts w:ascii="FangSong_GB2312" w:hAnsi="FangSong_GB2312" w:eastAsia="FangSong_GB2312" w:cs="FangSong_GB2312"/>
                <w:spacing w:val="7"/>
                <w:sz w:val="23"/>
                <w:szCs w:val="23"/>
              </w:rPr>
              <w:t>平台</w:t>
            </w:r>
            <w:r>
              <w:rPr>
                <w:spacing w:val="7"/>
                <w:sz w:val="23"/>
                <w:szCs w:val="23"/>
              </w:rPr>
              <w:t>”</w:t>
            </w:r>
            <w:r>
              <w:rPr>
                <w:rFonts w:ascii="FangSong_GB2312" w:hAnsi="FangSong_GB2312" w:eastAsia="FangSong_GB2312" w:cs="FangSong_GB2312"/>
                <w:spacing w:val="7"/>
                <w:sz w:val="23"/>
                <w:szCs w:val="23"/>
              </w:rPr>
              <w:t>数据与</w:t>
            </w:r>
            <w:r>
              <w:rPr>
                <w:rFonts w:ascii="FangSong_GB2312" w:hAnsi="FangSong_GB2312" w:eastAsia="FangSong_GB2312" w:cs="FangSong_GB2312"/>
                <w:sz w:val="23"/>
                <w:szCs w:val="23"/>
              </w:rPr>
              <w:t xml:space="preserve"> </w:t>
            </w:r>
            <w:r>
              <w:rPr>
                <w:rFonts w:ascii="FangSong_GB2312" w:hAnsi="FangSong_GB2312" w:eastAsia="FangSong_GB2312" w:cs="FangSong_GB2312"/>
                <w:spacing w:val="7"/>
                <w:sz w:val="23"/>
                <w:szCs w:val="23"/>
              </w:rPr>
              <w:t>现场抽查相</w:t>
            </w:r>
            <w:r>
              <w:rPr>
                <w:rFonts w:ascii="FangSong_GB2312" w:hAnsi="FangSong_GB2312" w:eastAsia="FangSong_GB2312" w:cs="FangSong_GB2312"/>
                <w:spacing w:val="1"/>
                <w:sz w:val="23"/>
                <w:szCs w:val="23"/>
              </w:rPr>
              <w:t xml:space="preserve">  </w:t>
            </w:r>
            <w:r>
              <w:rPr>
                <w:rFonts w:ascii="FangSong_GB2312" w:hAnsi="FangSong_GB2312" w:eastAsia="FangSong_GB2312" w:cs="FangSong_GB2312"/>
                <w:spacing w:val="7"/>
                <w:sz w:val="23"/>
                <w:szCs w:val="23"/>
              </w:rPr>
              <w:t>结合进行评</w:t>
            </w:r>
            <w:r>
              <w:rPr>
                <w:rFonts w:ascii="FangSong_GB2312" w:hAnsi="FangSong_GB2312" w:eastAsia="FangSong_GB2312" w:cs="FangSong_GB2312"/>
                <w:spacing w:val="1"/>
                <w:sz w:val="23"/>
                <w:szCs w:val="23"/>
              </w:rPr>
              <w:t xml:space="preserve">  </w:t>
            </w:r>
            <w:r>
              <w:rPr>
                <w:rFonts w:ascii="FangSong_GB2312" w:hAnsi="FangSong_GB2312" w:eastAsia="FangSong_GB2312" w:cs="FangSong_GB2312"/>
                <w:spacing w:val="-12"/>
                <w:sz w:val="23"/>
                <w:szCs w:val="23"/>
              </w:rPr>
              <w:t>分。</w:t>
            </w:r>
          </w:p>
        </w:tc>
        <w:tc>
          <w:tcPr>
            <w:tcW w:w="1700" w:type="dxa"/>
            <w:noWrap w:val="0"/>
            <w:vAlign w:val="top"/>
          </w:tcPr>
          <w:p w14:paraId="76B5E914">
            <w:pPr>
              <w:rPr>
                <w:rFonts w:ascii="Arial"/>
                <w:sz w:val="21"/>
              </w:rPr>
            </w:pPr>
          </w:p>
        </w:tc>
        <w:tc>
          <w:tcPr>
            <w:tcW w:w="807" w:type="dxa"/>
            <w:noWrap w:val="0"/>
            <w:vAlign w:val="top"/>
          </w:tcPr>
          <w:p w14:paraId="0AE4E5A8">
            <w:pPr>
              <w:rPr>
                <w:rFonts w:ascii="Arial"/>
                <w:sz w:val="21"/>
              </w:rPr>
            </w:pPr>
          </w:p>
        </w:tc>
      </w:tr>
      <w:tr w14:paraId="69698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1" w:hRule="atLeast"/>
        </w:trPr>
        <w:tc>
          <w:tcPr>
            <w:tcW w:w="461" w:type="dxa"/>
            <w:noWrap w:val="0"/>
            <w:vAlign w:val="top"/>
          </w:tcPr>
          <w:p w14:paraId="38DB87D7">
            <w:pPr>
              <w:spacing w:line="304" w:lineRule="auto"/>
              <w:rPr>
                <w:rFonts w:ascii="Arial"/>
                <w:sz w:val="21"/>
              </w:rPr>
            </w:pPr>
          </w:p>
          <w:p w14:paraId="399F4546">
            <w:pPr>
              <w:spacing w:line="304" w:lineRule="auto"/>
              <w:rPr>
                <w:rFonts w:ascii="Arial"/>
                <w:sz w:val="21"/>
              </w:rPr>
            </w:pPr>
          </w:p>
          <w:p w14:paraId="2D10A7B7">
            <w:pPr>
              <w:spacing w:line="305" w:lineRule="auto"/>
              <w:rPr>
                <w:rFonts w:ascii="Arial"/>
                <w:sz w:val="21"/>
              </w:rPr>
            </w:pPr>
          </w:p>
          <w:p w14:paraId="6D89BE6C">
            <w:pPr>
              <w:pStyle w:val="21"/>
              <w:spacing w:before="66" w:line="195" w:lineRule="auto"/>
              <w:ind w:left="173"/>
              <w:rPr>
                <w:sz w:val="23"/>
                <w:szCs w:val="23"/>
              </w:rPr>
            </w:pPr>
            <w:r>
              <w:rPr>
                <w:sz w:val="23"/>
                <w:szCs w:val="23"/>
              </w:rPr>
              <w:t>2</w:t>
            </w:r>
          </w:p>
        </w:tc>
        <w:tc>
          <w:tcPr>
            <w:tcW w:w="1212" w:type="dxa"/>
            <w:vMerge w:val="continue"/>
            <w:tcBorders>
              <w:top w:val="nil"/>
              <w:bottom w:val="nil"/>
            </w:tcBorders>
            <w:noWrap w:val="0"/>
            <w:vAlign w:val="top"/>
          </w:tcPr>
          <w:p w14:paraId="3242646F">
            <w:pPr>
              <w:rPr>
                <w:rFonts w:ascii="Arial"/>
                <w:sz w:val="21"/>
              </w:rPr>
            </w:pPr>
          </w:p>
        </w:tc>
        <w:tc>
          <w:tcPr>
            <w:tcW w:w="1275" w:type="dxa"/>
            <w:noWrap w:val="0"/>
            <w:vAlign w:val="top"/>
          </w:tcPr>
          <w:p w14:paraId="3A524EA8">
            <w:pPr>
              <w:spacing w:line="358" w:lineRule="auto"/>
              <w:rPr>
                <w:rFonts w:ascii="Arial"/>
                <w:sz w:val="21"/>
              </w:rPr>
            </w:pPr>
          </w:p>
          <w:p w14:paraId="6ADEF825">
            <w:pPr>
              <w:spacing w:line="359" w:lineRule="auto"/>
              <w:rPr>
                <w:rFonts w:ascii="Arial"/>
                <w:sz w:val="21"/>
              </w:rPr>
            </w:pPr>
          </w:p>
          <w:p w14:paraId="2FACE7D0">
            <w:pPr>
              <w:spacing w:before="75" w:line="231" w:lineRule="auto"/>
              <w:ind w:left="180" w:right="158" w:hanging="18"/>
              <w:rPr>
                <w:rFonts w:ascii="FangSong_GB2312" w:hAnsi="FangSong_GB2312" w:eastAsia="FangSong_GB2312" w:cs="FangSong_GB2312"/>
                <w:sz w:val="23"/>
                <w:szCs w:val="23"/>
              </w:rPr>
            </w:pPr>
            <w:r>
              <w:rPr>
                <w:rFonts w:ascii="FangSong_GB2312" w:hAnsi="FangSong_GB2312" w:eastAsia="FangSong_GB2312" w:cs="FangSong_GB2312"/>
                <w:spacing w:val="7"/>
                <w:sz w:val="23"/>
                <w:szCs w:val="23"/>
              </w:rPr>
              <w:t>农技人员</w:t>
            </w:r>
            <w:r>
              <w:rPr>
                <w:rFonts w:ascii="FangSong_GB2312" w:hAnsi="FangSong_GB2312" w:eastAsia="FangSong_GB2312" w:cs="FangSong_GB2312"/>
                <w:sz w:val="23"/>
                <w:szCs w:val="23"/>
              </w:rPr>
              <w:t xml:space="preserve"> </w:t>
            </w:r>
            <w:r>
              <w:rPr>
                <w:rFonts w:ascii="FangSong_GB2312" w:hAnsi="FangSong_GB2312" w:eastAsia="FangSong_GB2312" w:cs="FangSong_GB2312"/>
                <w:spacing w:val="2"/>
                <w:sz w:val="23"/>
                <w:szCs w:val="23"/>
              </w:rPr>
              <w:t>能力提升</w:t>
            </w:r>
          </w:p>
        </w:tc>
        <w:tc>
          <w:tcPr>
            <w:tcW w:w="456" w:type="dxa"/>
            <w:noWrap w:val="0"/>
            <w:vAlign w:val="top"/>
          </w:tcPr>
          <w:p w14:paraId="02CFB406">
            <w:pPr>
              <w:spacing w:line="304" w:lineRule="auto"/>
              <w:rPr>
                <w:rFonts w:ascii="Arial"/>
                <w:sz w:val="21"/>
              </w:rPr>
            </w:pPr>
          </w:p>
          <w:p w14:paraId="1F8838CC">
            <w:pPr>
              <w:spacing w:line="305" w:lineRule="auto"/>
              <w:rPr>
                <w:rFonts w:ascii="Arial"/>
                <w:sz w:val="21"/>
              </w:rPr>
            </w:pPr>
          </w:p>
          <w:p w14:paraId="3A133051">
            <w:pPr>
              <w:spacing w:line="305" w:lineRule="auto"/>
              <w:rPr>
                <w:rFonts w:ascii="Arial"/>
                <w:sz w:val="21"/>
              </w:rPr>
            </w:pPr>
          </w:p>
          <w:p w14:paraId="5E8ABBF6">
            <w:pPr>
              <w:pStyle w:val="21"/>
              <w:spacing w:before="66" w:line="194" w:lineRule="auto"/>
              <w:ind w:left="130"/>
              <w:rPr>
                <w:sz w:val="23"/>
                <w:szCs w:val="23"/>
              </w:rPr>
            </w:pPr>
            <w:r>
              <w:rPr>
                <w:spacing w:val="-11"/>
                <w:sz w:val="23"/>
                <w:szCs w:val="23"/>
              </w:rPr>
              <w:t>10</w:t>
            </w:r>
          </w:p>
        </w:tc>
        <w:tc>
          <w:tcPr>
            <w:tcW w:w="6912" w:type="dxa"/>
            <w:noWrap w:val="0"/>
            <w:vAlign w:val="top"/>
          </w:tcPr>
          <w:p w14:paraId="392FE482">
            <w:pPr>
              <w:spacing w:line="269" w:lineRule="auto"/>
              <w:rPr>
                <w:rFonts w:ascii="Arial"/>
                <w:sz w:val="21"/>
              </w:rPr>
            </w:pPr>
          </w:p>
          <w:p w14:paraId="608A37A6">
            <w:pPr>
              <w:pStyle w:val="21"/>
              <w:spacing w:before="75" w:line="231" w:lineRule="auto"/>
              <w:ind w:left="116" w:right="106" w:firstLine="13"/>
              <w:rPr>
                <w:rFonts w:ascii="FangSong_GB2312" w:hAnsi="FangSong_GB2312" w:eastAsia="FangSong_GB2312" w:cs="FangSong_GB2312"/>
                <w:sz w:val="23"/>
                <w:szCs w:val="23"/>
              </w:rPr>
            </w:pPr>
            <w:r>
              <w:rPr>
                <w:spacing w:val="2"/>
                <w:sz w:val="23"/>
                <w:szCs w:val="23"/>
              </w:rPr>
              <w:t>1</w:t>
            </w:r>
            <w:r>
              <w:rPr>
                <w:rFonts w:ascii="FangSong_GB2312" w:hAnsi="FangSong_GB2312" w:eastAsia="FangSong_GB2312" w:cs="FangSong_GB2312"/>
                <w:spacing w:val="2"/>
                <w:sz w:val="23"/>
                <w:szCs w:val="23"/>
              </w:rPr>
              <w:t>、全区</w:t>
            </w:r>
            <w:r>
              <w:rPr>
                <w:rFonts w:ascii="FangSong_GB2312" w:hAnsi="FangSong_GB2312" w:eastAsia="FangSong_GB2312" w:cs="FangSong_GB2312"/>
                <w:spacing w:val="-27"/>
                <w:sz w:val="23"/>
                <w:szCs w:val="23"/>
              </w:rPr>
              <w:t xml:space="preserve"> </w:t>
            </w:r>
            <w:r>
              <w:rPr>
                <w:spacing w:val="2"/>
                <w:sz w:val="23"/>
                <w:szCs w:val="23"/>
              </w:rPr>
              <w:t>1/3</w:t>
            </w:r>
            <w:r>
              <w:rPr>
                <w:spacing w:val="47"/>
                <w:sz w:val="23"/>
                <w:szCs w:val="23"/>
              </w:rPr>
              <w:t xml:space="preserve"> </w:t>
            </w:r>
            <w:r>
              <w:rPr>
                <w:rFonts w:ascii="FangSong_GB2312" w:hAnsi="FangSong_GB2312" w:eastAsia="FangSong_GB2312" w:cs="FangSong_GB2312"/>
                <w:spacing w:val="2"/>
                <w:sz w:val="23"/>
                <w:szCs w:val="23"/>
              </w:rPr>
              <w:t>以上在编基层农技人员接受连续不少于</w:t>
            </w:r>
            <w:r>
              <w:rPr>
                <w:rFonts w:ascii="FangSong_GB2312" w:hAnsi="FangSong_GB2312" w:eastAsia="FangSong_GB2312" w:cs="FangSong_GB2312"/>
                <w:spacing w:val="-44"/>
                <w:sz w:val="23"/>
                <w:szCs w:val="23"/>
              </w:rPr>
              <w:t xml:space="preserve"> </w:t>
            </w:r>
            <w:r>
              <w:rPr>
                <w:spacing w:val="2"/>
                <w:sz w:val="23"/>
                <w:szCs w:val="23"/>
              </w:rPr>
              <w:t>5</w:t>
            </w:r>
            <w:r>
              <w:rPr>
                <w:spacing w:val="19"/>
                <w:sz w:val="23"/>
                <w:szCs w:val="23"/>
              </w:rPr>
              <w:t xml:space="preserve"> </w:t>
            </w:r>
            <w:r>
              <w:rPr>
                <w:rFonts w:ascii="FangSong_GB2312" w:hAnsi="FangSong_GB2312" w:eastAsia="FangSong_GB2312" w:cs="FangSong_GB2312"/>
                <w:spacing w:val="1"/>
                <w:sz w:val="23"/>
                <w:szCs w:val="23"/>
              </w:rPr>
              <w:t>天的脱产业</w:t>
            </w:r>
            <w:r>
              <w:rPr>
                <w:rFonts w:ascii="FangSong_GB2312" w:hAnsi="FangSong_GB2312" w:eastAsia="FangSong_GB2312" w:cs="FangSong_GB2312"/>
                <w:sz w:val="23"/>
                <w:szCs w:val="23"/>
              </w:rPr>
              <w:t xml:space="preserve"> </w:t>
            </w:r>
            <w:r>
              <w:rPr>
                <w:rFonts w:ascii="FangSong_GB2312" w:hAnsi="FangSong_GB2312" w:eastAsia="FangSong_GB2312" w:cs="FangSong_GB2312"/>
                <w:spacing w:val="3"/>
                <w:sz w:val="23"/>
                <w:szCs w:val="23"/>
              </w:rPr>
              <w:t>务培训的得</w:t>
            </w:r>
            <w:r>
              <w:rPr>
                <w:rFonts w:ascii="FangSong_GB2312" w:hAnsi="FangSong_GB2312" w:eastAsia="FangSong_GB2312" w:cs="FangSong_GB2312"/>
                <w:spacing w:val="-39"/>
                <w:sz w:val="23"/>
                <w:szCs w:val="23"/>
              </w:rPr>
              <w:t xml:space="preserve"> </w:t>
            </w:r>
            <w:r>
              <w:rPr>
                <w:spacing w:val="3"/>
                <w:sz w:val="23"/>
                <w:szCs w:val="23"/>
              </w:rPr>
              <w:t xml:space="preserve">3 </w:t>
            </w:r>
            <w:r>
              <w:rPr>
                <w:rFonts w:ascii="FangSong_GB2312" w:hAnsi="FangSong_GB2312" w:eastAsia="FangSong_GB2312" w:cs="FangSong_GB2312"/>
                <w:spacing w:val="3"/>
                <w:sz w:val="23"/>
                <w:szCs w:val="23"/>
              </w:rPr>
              <w:t>分，未完成不得分；</w:t>
            </w:r>
          </w:p>
          <w:p w14:paraId="31047B51">
            <w:pPr>
              <w:pStyle w:val="21"/>
              <w:spacing w:before="21" w:line="232" w:lineRule="auto"/>
              <w:ind w:left="114" w:right="106" w:hanging="7"/>
              <w:rPr>
                <w:rFonts w:ascii="FangSong_GB2312" w:hAnsi="FangSong_GB2312" w:eastAsia="FangSong_GB2312" w:cs="FangSong_GB2312"/>
                <w:sz w:val="23"/>
                <w:szCs w:val="23"/>
              </w:rPr>
            </w:pPr>
            <w:r>
              <w:rPr>
                <w:spacing w:val="12"/>
                <w:sz w:val="23"/>
                <w:szCs w:val="23"/>
              </w:rPr>
              <w:t>2</w:t>
            </w:r>
            <w:r>
              <w:rPr>
                <w:rFonts w:ascii="FangSong_GB2312" w:hAnsi="FangSong_GB2312" w:eastAsia="FangSong_GB2312" w:cs="FangSong_GB2312"/>
                <w:spacing w:val="12"/>
                <w:sz w:val="23"/>
                <w:szCs w:val="23"/>
              </w:rPr>
              <w:t>、省级农牧部门组织对骨干农技人才进行不少于</w:t>
            </w:r>
            <w:r>
              <w:rPr>
                <w:rFonts w:ascii="FangSong_GB2312" w:hAnsi="FangSong_GB2312" w:eastAsia="FangSong_GB2312" w:cs="FangSong_GB2312"/>
                <w:spacing w:val="-41"/>
                <w:sz w:val="23"/>
                <w:szCs w:val="23"/>
              </w:rPr>
              <w:t xml:space="preserve"> </w:t>
            </w:r>
            <w:r>
              <w:rPr>
                <w:spacing w:val="12"/>
                <w:sz w:val="23"/>
                <w:szCs w:val="23"/>
              </w:rPr>
              <w:t>5</w:t>
            </w:r>
            <w:r>
              <w:rPr>
                <w:spacing w:val="19"/>
                <w:w w:val="101"/>
                <w:sz w:val="23"/>
                <w:szCs w:val="23"/>
              </w:rPr>
              <w:t xml:space="preserve"> </w:t>
            </w:r>
            <w:r>
              <w:rPr>
                <w:rFonts w:ascii="FangSong_GB2312" w:hAnsi="FangSong_GB2312" w:eastAsia="FangSong_GB2312" w:cs="FangSong_GB2312"/>
                <w:spacing w:val="11"/>
                <w:sz w:val="23"/>
                <w:szCs w:val="23"/>
              </w:rPr>
              <w:t>条脱产业务</w:t>
            </w:r>
            <w:r>
              <w:rPr>
                <w:rFonts w:ascii="FangSong_GB2312" w:hAnsi="FangSong_GB2312" w:eastAsia="FangSong_GB2312" w:cs="FangSong_GB2312"/>
                <w:sz w:val="23"/>
                <w:szCs w:val="23"/>
              </w:rPr>
              <w:t xml:space="preserve"> </w:t>
            </w:r>
            <w:r>
              <w:rPr>
                <w:rFonts w:ascii="FangSong_GB2312" w:hAnsi="FangSong_GB2312" w:eastAsia="FangSong_GB2312" w:cs="FangSong_GB2312"/>
                <w:spacing w:val="2"/>
                <w:sz w:val="23"/>
                <w:szCs w:val="23"/>
              </w:rPr>
              <w:t>培训得</w:t>
            </w:r>
            <w:r>
              <w:rPr>
                <w:rFonts w:ascii="FangSong_GB2312" w:hAnsi="FangSong_GB2312" w:eastAsia="FangSong_GB2312" w:cs="FangSong_GB2312"/>
                <w:spacing w:val="-37"/>
                <w:sz w:val="23"/>
                <w:szCs w:val="23"/>
              </w:rPr>
              <w:t xml:space="preserve"> </w:t>
            </w:r>
            <w:r>
              <w:rPr>
                <w:spacing w:val="2"/>
                <w:sz w:val="23"/>
                <w:szCs w:val="23"/>
              </w:rPr>
              <w:t xml:space="preserve">3 </w:t>
            </w:r>
            <w:r>
              <w:rPr>
                <w:rFonts w:ascii="FangSong_GB2312" w:hAnsi="FangSong_GB2312" w:eastAsia="FangSong_GB2312" w:cs="FangSong_GB2312"/>
                <w:spacing w:val="2"/>
                <w:sz w:val="23"/>
                <w:szCs w:val="23"/>
              </w:rPr>
              <w:t>分，未完成不得分；</w:t>
            </w:r>
          </w:p>
          <w:p w14:paraId="78ED80AD">
            <w:pPr>
              <w:pStyle w:val="21"/>
              <w:spacing w:before="23" w:line="222" w:lineRule="auto"/>
              <w:ind w:left="112"/>
              <w:rPr>
                <w:rFonts w:ascii="FangSong_GB2312" w:hAnsi="FangSong_GB2312" w:eastAsia="FangSong_GB2312" w:cs="FangSong_GB2312"/>
                <w:sz w:val="23"/>
                <w:szCs w:val="23"/>
              </w:rPr>
            </w:pPr>
            <w:r>
              <w:rPr>
                <w:spacing w:val="6"/>
                <w:sz w:val="23"/>
                <w:szCs w:val="23"/>
              </w:rPr>
              <w:t>3</w:t>
            </w:r>
            <w:r>
              <w:rPr>
                <w:rFonts w:ascii="FangSong_GB2312" w:hAnsi="FangSong_GB2312" w:eastAsia="FangSong_GB2312" w:cs="FangSong_GB2312"/>
                <w:spacing w:val="6"/>
                <w:sz w:val="23"/>
                <w:szCs w:val="23"/>
              </w:rPr>
              <w:t>、骨干农技人才培训效果共</w:t>
            </w:r>
            <w:r>
              <w:rPr>
                <w:rFonts w:ascii="FangSong_GB2312" w:hAnsi="FangSong_GB2312" w:eastAsia="FangSong_GB2312" w:cs="FangSong_GB2312"/>
                <w:spacing w:val="-26"/>
                <w:sz w:val="23"/>
                <w:szCs w:val="23"/>
              </w:rPr>
              <w:t xml:space="preserve"> </w:t>
            </w:r>
            <w:r>
              <w:rPr>
                <w:spacing w:val="6"/>
                <w:sz w:val="23"/>
                <w:szCs w:val="23"/>
              </w:rPr>
              <w:t xml:space="preserve">4 </w:t>
            </w:r>
            <w:r>
              <w:rPr>
                <w:rFonts w:ascii="FangSong_GB2312" w:hAnsi="FangSong_GB2312" w:eastAsia="FangSong_GB2312" w:cs="FangSong_GB2312"/>
                <w:spacing w:val="6"/>
                <w:sz w:val="23"/>
                <w:szCs w:val="23"/>
              </w:rPr>
              <w:t>分，综合考虑实施效果打分。</w:t>
            </w:r>
          </w:p>
        </w:tc>
        <w:tc>
          <w:tcPr>
            <w:tcW w:w="1559" w:type="dxa"/>
            <w:vMerge w:val="continue"/>
            <w:tcBorders>
              <w:top w:val="nil"/>
              <w:bottom w:val="nil"/>
            </w:tcBorders>
            <w:noWrap w:val="0"/>
            <w:vAlign w:val="top"/>
          </w:tcPr>
          <w:p w14:paraId="0F7D0C7A">
            <w:pPr>
              <w:rPr>
                <w:rFonts w:ascii="Arial"/>
                <w:sz w:val="21"/>
              </w:rPr>
            </w:pPr>
          </w:p>
        </w:tc>
        <w:tc>
          <w:tcPr>
            <w:tcW w:w="1700" w:type="dxa"/>
            <w:noWrap w:val="0"/>
            <w:vAlign w:val="top"/>
          </w:tcPr>
          <w:p w14:paraId="772FD5D0">
            <w:pPr>
              <w:rPr>
                <w:rFonts w:ascii="Arial"/>
                <w:sz w:val="21"/>
              </w:rPr>
            </w:pPr>
          </w:p>
        </w:tc>
        <w:tc>
          <w:tcPr>
            <w:tcW w:w="807" w:type="dxa"/>
            <w:noWrap w:val="0"/>
            <w:vAlign w:val="top"/>
          </w:tcPr>
          <w:p w14:paraId="1407452C">
            <w:pPr>
              <w:rPr>
                <w:rFonts w:ascii="Arial"/>
                <w:sz w:val="21"/>
              </w:rPr>
            </w:pPr>
          </w:p>
        </w:tc>
      </w:tr>
      <w:tr w14:paraId="2143F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2" w:hRule="atLeast"/>
        </w:trPr>
        <w:tc>
          <w:tcPr>
            <w:tcW w:w="461" w:type="dxa"/>
            <w:noWrap w:val="0"/>
            <w:vAlign w:val="top"/>
          </w:tcPr>
          <w:p w14:paraId="56CE7AA5">
            <w:pPr>
              <w:spacing w:line="297" w:lineRule="auto"/>
              <w:rPr>
                <w:rFonts w:ascii="Arial"/>
                <w:sz w:val="21"/>
              </w:rPr>
            </w:pPr>
          </w:p>
          <w:p w14:paraId="463A2682">
            <w:pPr>
              <w:spacing w:line="298" w:lineRule="auto"/>
              <w:rPr>
                <w:rFonts w:ascii="Arial"/>
                <w:sz w:val="21"/>
              </w:rPr>
            </w:pPr>
          </w:p>
          <w:p w14:paraId="5037AAA6">
            <w:pPr>
              <w:spacing w:line="298" w:lineRule="auto"/>
              <w:rPr>
                <w:rFonts w:ascii="Arial"/>
                <w:sz w:val="21"/>
              </w:rPr>
            </w:pPr>
          </w:p>
          <w:p w14:paraId="7D4E035D">
            <w:pPr>
              <w:spacing w:line="298" w:lineRule="auto"/>
              <w:rPr>
                <w:rFonts w:ascii="Arial"/>
                <w:sz w:val="21"/>
              </w:rPr>
            </w:pPr>
          </w:p>
          <w:p w14:paraId="7A5565A3">
            <w:pPr>
              <w:pStyle w:val="21"/>
              <w:spacing w:before="66" w:line="194" w:lineRule="auto"/>
              <w:ind w:left="178"/>
              <w:rPr>
                <w:sz w:val="23"/>
                <w:szCs w:val="23"/>
              </w:rPr>
            </w:pPr>
            <w:r>
              <w:rPr>
                <w:sz w:val="23"/>
                <w:szCs w:val="23"/>
              </w:rPr>
              <w:t>3</w:t>
            </w:r>
          </w:p>
        </w:tc>
        <w:tc>
          <w:tcPr>
            <w:tcW w:w="1212" w:type="dxa"/>
            <w:vMerge w:val="continue"/>
            <w:tcBorders>
              <w:top w:val="nil"/>
            </w:tcBorders>
            <w:noWrap w:val="0"/>
            <w:vAlign w:val="top"/>
          </w:tcPr>
          <w:p w14:paraId="07331485">
            <w:pPr>
              <w:rPr>
                <w:rFonts w:ascii="Arial"/>
                <w:sz w:val="21"/>
              </w:rPr>
            </w:pPr>
          </w:p>
        </w:tc>
        <w:tc>
          <w:tcPr>
            <w:tcW w:w="1275" w:type="dxa"/>
            <w:noWrap w:val="0"/>
            <w:vAlign w:val="top"/>
          </w:tcPr>
          <w:p w14:paraId="0BE82E50">
            <w:pPr>
              <w:spacing w:line="248" w:lineRule="auto"/>
              <w:rPr>
                <w:rFonts w:ascii="Arial"/>
                <w:sz w:val="21"/>
              </w:rPr>
            </w:pPr>
          </w:p>
          <w:p w14:paraId="0B879A5D">
            <w:pPr>
              <w:spacing w:line="248" w:lineRule="auto"/>
              <w:rPr>
                <w:rFonts w:ascii="Arial"/>
                <w:sz w:val="21"/>
              </w:rPr>
            </w:pPr>
          </w:p>
          <w:p w14:paraId="4BA675F7">
            <w:pPr>
              <w:spacing w:line="249" w:lineRule="auto"/>
              <w:rPr>
                <w:rFonts w:ascii="Arial"/>
                <w:sz w:val="21"/>
              </w:rPr>
            </w:pPr>
          </w:p>
          <w:p w14:paraId="12EDCEA0">
            <w:pPr>
              <w:spacing w:line="249" w:lineRule="auto"/>
              <w:rPr>
                <w:rFonts w:ascii="Arial"/>
                <w:sz w:val="21"/>
              </w:rPr>
            </w:pPr>
          </w:p>
          <w:p w14:paraId="6F3EC62A">
            <w:pPr>
              <w:spacing w:before="75" w:line="233" w:lineRule="auto"/>
              <w:ind w:left="405" w:right="158" w:hanging="242"/>
              <w:rPr>
                <w:rFonts w:ascii="FangSong_GB2312" w:hAnsi="FangSong_GB2312" w:eastAsia="FangSong_GB2312" w:cs="FangSong_GB2312"/>
                <w:sz w:val="23"/>
                <w:szCs w:val="23"/>
              </w:rPr>
            </w:pPr>
            <w:r>
              <w:rPr>
                <w:rFonts w:ascii="FangSong_GB2312" w:hAnsi="FangSong_GB2312" w:eastAsia="FangSong_GB2312" w:cs="FangSong_GB2312"/>
                <w:spacing w:val="6"/>
                <w:sz w:val="23"/>
                <w:szCs w:val="23"/>
              </w:rPr>
              <w:t>技术推广</w:t>
            </w:r>
            <w:r>
              <w:rPr>
                <w:rFonts w:ascii="FangSong_GB2312" w:hAnsi="FangSong_GB2312" w:eastAsia="FangSong_GB2312" w:cs="FangSong_GB2312"/>
                <w:spacing w:val="2"/>
                <w:sz w:val="23"/>
                <w:szCs w:val="23"/>
              </w:rPr>
              <w:t xml:space="preserve"> 应用</w:t>
            </w:r>
          </w:p>
        </w:tc>
        <w:tc>
          <w:tcPr>
            <w:tcW w:w="456" w:type="dxa"/>
            <w:noWrap w:val="0"/>
            <w:vAlign w:val="top"/>
          </w:tcPr>
          <w:p w14:paraId="1F4F41DF">
            <w:pPr>
              <w:spacing w:line="297" w:lineRule="auto"/>
              <w:rPr>
                <w:rFonts w:ascii="Arial"/>
                <w:sz w:val="21"/>
              </w:rPr>
            </w:pPr>
          </w:p>
          <w:p w14:paraId="2300C8E9">
            <w:pPr>
              <w:spacing w:line="298" w:lineRule="auto"/>
              <w:rPr>
                <w:rFonts w:ascii="Arial"/>
                <w:sz w:val="21"/>
              </w:rPr>
            </w:pPr>
          </w:p>
          <w:p w14:paraId="47C786F2">
            <w:pPr>
              <w:spacing w:line="298" w:lineRule="auto"/>
              <w:rPr>
                <w:rFonts w:ascii="Arial"/>
                <w:sz w:val="21"/>
              </w:rPr>
            </w:pPr>
          </w:p>
          <w:p w14:paraId="3D631D2E">
            <w:pPr>
              <w:spacing w:line="298" w:lineRule="auto"/>
              <w:rPr>
                <w:rFonts w:ascii="Arial"/>
                <w:sz w:val="21"/>
              </w:rPr>
            </w:pPr>
          </w:p>
          <w:p w14:paraId="50F3AA5D">
            <w:pPr>
              <w:pStyle w:val="21"/>
              <w:spacing w:before="66" w:line="194" w:lineRule="auto"/>
              <w:ind w:left="107"/>
              <w:rPr>
                <w:sz w:val="23"/>
                <w:szCs w:val="23"/>
              </w:rPr>
            </w:pPr>
            <w:r>
              <w:rPr>
                <w:spacing w:val="1"/>
                <w:sz w:val="23"/>
                <w:szCs w:val="23"/>
              </w:rPr>
              <w:t>25</w:t>
            </w:r>
          </w:p>
        </w:tc>
        <w:tc>
          <w:tcPr>
            <w:tcW w:w="6912" w:type="dxa"/>
            <w:noWrap w:val="0"/>
            <w:vAlign w:val="top"/>
          </w:tcPr>
          <w:p w14:paraId="22F0DF34">
            <w:pPr>
              <w:spacing w:line="399" w:lineRule="auto"/>
              <w:rPr>
                <w:rFonts w:ascii="Arial"/>
                <w:sz w:val="21"/>
              </w:rPr>
            </w:pPr>
          </w:p>
          <w:p w14:paraId="54F9B727">
            <w:pPr>
              <w:pStyle w:val="21"/>
              <w:spacing w:before="75" w:line="234" w:lineRule="auto"/>
              <w:ind w:left="115" w:right="106" w:firstLine="14"/>
              <w:rPr>
                <w:rFonts w:ascii="FangSong_GB2312" w:hAnsi="FangSong_GB2312" w:eastAsia="FangSong_GB2312" w:cs="FangSong_GB2312"/>
                <w:sz w:val="23"/>
                <w:szCs w:val="23"/>
              </w:rPr>
            </w:pPr>
            <w:r>
              <w:rPr>
                <w:spacing w:val="6"/>
                <w:sz w:val="23"/>
                <w:szCs w:val="23"/>
              </w:rPr>
              <w:t>1</w:t>
            </w:r>
            <w:r>
              <w:rPr>
                <w:spacing w:val="-28"/>
                <w:sz w:val="23"/>
                <w:szCs w:val="23"/>
              </w:rPr>
              <w:t xml:space="preserve"> </w:t>
            </w:r>
            <w:r>
              <w:rPr>
                <w:rFonts w:ascii="FangSong_GB2312" w:hAnsi="FangSong_GB2312" w:eastAsia="FangSong_GB2312" w:cs="FangSong_GB2312"/>
                <w:spacing w:val="6"/>
                <w:sz w:val="23"/>
                <w:szCs w:val="23"/>
              </w:rPr>
              <w:t>、农业科技展示场所建设效果共</w:t>
            </w:r>
            <w:r>
              <w:rPr>
                <w:rFonts w:ascii="FangSong_GB2312" w:hAnsi="FangSong_GB2312" w:eastAsia="FangSong_GB2312" w:cs="FangSong_GB2312"/>
                <w:spacing w:val="-27"/>
                <w:sz w:val="23"/>
                <w:szCs w:val="23"/>
              </w:rPr>
              <w:t xml:space="preserve"> </w:t>
            </w:r>
            <w:r>
              <w:rPr>
                <w:spacing w:val="6"/>
                <w:sz w:val="23"/>
                <w:szCs w:val="23"/>
              </w:rPr>
              <w:t xml:space="preserve">10 </w:t>
            </w:r>
            <w:r>
              <w:rPr>
                <w:rFonts w:ascii="FangSong_GB2312" w:hAnsi="FangSong_GB2312" w:eastAsia="FangSong_GB2312" w:cs="FangSong_GB2312"/>
                <w:spacing w:val="6"/>
                <w:sz w:val="23"/>
                <w:szCs w:val="23"/>
              </w:rPr>
              <w:t>分</w:t>
            </w:r>
            <w:r>
              <w:rPr>
                <w:rFonts w:ascii="FangSong_GB2312" w:hAnsi="FangSong_GB2312" w:eastAsia="FangSong_GB2312" w:cs="FangSong_GB2312"/>
                <w:spacing w:val="5"/>
                <w:sz w:val="23"/>
                <w:szCs w:val="23"/>
              </w:rPr>
              <w:t>，完成年度场所建设任务</w:t>
            </w:r>
            <w:r>
              <w:rPr>
                <w:rFonts w:ascii="FangSong_GB2312" w:hAnsi="FangSong_GB2312" w:eastAsia="FangSong_GB2312" w:cs="FangSong_GB2312"/>
                <w:sz w:val="23"/>
                <w:szCs w:val="23"/>
              </w:rPr>
              <w:t xml:space="preserve"> </w:t>
            </w:r>
            <w:r>
              <w:rPr>
                <w:rFonts w:ascii="FangSong_GB2312" w:hAnsi="FangSong_GB2312" w:eastAsia="FangSong_GB2312" w:cs="FangSong_GB2312"/>
                <w:spacing w:val="9"/>
                <w:sz w:val="23"/>
                <w:szCs w:val="23"/>
              </w:rPr>
              <w:t>得</w:t>
            </w:r>
            <w:r>
              <w:rPr>
                <w:rFonts w:ascii="FangSong_GB2312" w:hAnsi="FangSong_GB2312" w:eastAsia="FangSong_GB2312" w:cs="FangSong_GB2312"/>
                <w:spacing w:val="-26"/>
                <w:sz w:val="23"/>
                <w:szCs w:val="23"/>
              </w:rPr>
              <w:t xml:space="preserve"> </w:t>
            </w:r>
            <w:r>
              <w:rPr>
                <w:spacing w:val="9"/>
                <w:sz w:val="23"/>
                <w:szCs w:val="23"/>
              </w:rPr>
              <w:t xml:space="preserve">5 </w:t>
            </w:r>
            <w:r>
              <w:rPr>
                <w:rFonts w:ascii="FangSong_GB2312" w:hAnsi="FangSong_GB2312" w:eastAsia="FangSong_GB2312" w:cs="FangSong_GB2312"/>
                <w:spacing w:val="9"/>
                <w:sz w:val="23"/>
                <w:szCs w:val="23"/>
              </w:rPr>
              <w:t>分，未完成不得分；场所展示效果共</w:t>
            </w:r>
            <w:r>
              <w:rPr>
                <w:spacing w:val="9"/>
                <w:sz w:val="23"/>
                <w:szCs w:val="23"/>
              </w:rPr>
              <w:t xml:space="preserve">5 </w:t>
            </w:r>
            <w:r>
              <w:rPr>
                <w:rFonts w:ascii="FangSong_GB2312" w:hAnsi="FangSong_GB2312" w:eastAsia="FangSong_GB2312" w:cs="FangSong_GB2312"/>
                <w:spacing w:val="9"/>
                <w:sz w:val="23"/>
                <w:szCs w:val="23"/>
              </w:rPr>
              <w:t>分，综合考虑实施情</w:t>
            </w:r>
            <w:r>
              <w:rPr>
                <w:rFonts w:ascii="FangSong_GB2312" w:hAnsi="FangSong_GB2312" w:eastAsia="FangSong_GB2312" w:cs="FangSong_GB2312"/>
                <w:spacing w:val="-8"/>
                <w:sz w:val="23"/>
                <w:szCs w:val="23"/>
              </w:rPr>
              <w:t>况打分；</w:t>
            </w:r>
          </w:p>
          <w:p w14:paraId="167577F3">
            <w:pPr>
              <w:pStyle w:val="21"/>
              <w:spacing w:before="23" w:line="222" w:lineRule="auto"/>
              <w:ind w:left="107"/>
              <w:rPr>
                <w:rFonts w:ascii="FangSong_GB2312" w:hAnsi="FangSong_GB2312" w:eastAsia="FangSong_GB2312" w:cs="FangSong_GB2312"/>
                <w:sz w:val="23"/>
                <w:szCs w:val="23"/>
              </w:rPr>
            </w:pPr>
            <w:r>
              <w:rPr>
                <w:spacing w:val="9"/>
                <w:sz w:val="23"/>
                <w:szCs w:val="23"/>
              </w:rPr>
              <w:t>2</w:t>
            </w:r>
            <w:r>
              <w:rPr>
                <w:rFonts w:ascii="FangSong_GB2312" w:hAnsi="FangSong_GB2312" w:eastAsia="FangSong_GB2312" w:cs="FangSong_GB2312"/>
                <w:spacing w:val="9"/>
                <w:sz w:val="23"/>
                <w:szCs w:val="23"/>
              </w:rPr>
              <w:t>、农业科技展示主体培育共</w:t>
            </w:r>
            <w:r>
              <w:rPr>
                <w:spacing w:val="9"/>
                <w:sz w:val="23"/>
                <w:szCs w:val="23"/>
              </w:rPr>
              <w:t xml:space="preserve">5 </w:t>
            </w:r>
            <w:r>
              <w:rPr>
                <w:rFonts w:ascii="FangSong_GB2312" w:hAnsi="FangSong_GB2312" w:eastAsia="FangSong_GB2312" w:cs="FangSong_GB2312"/>
                <w:spacing w:val="9"/>
                <w:sz w:val="23"/>
                <w:szCs w:val="23"/>
              </w:rPr>
              <w:t>分，综合考虑实施情</w:t>
            </w:r>
            <w:r>
              <w:rPr>
                <w:rFonts w:ascii="FangSong_GB2312" w:hAnsi="FangSong_GB2312" w:eastAsia="FangSong_GB2312" w:cs="FangSong_GB2312"/>
                <w:spacing w:val="8"/>
                <w:sz w:val="23"/>
                <w:szCs w:val="23"/>
              </w:rPr>
              <w:t>况打分；</w:t>
            </w:r>
          </w:p>
          <w:p w14:paraId="15159DEC">
            <w:pPr>
              <w:pStyle w:val="21"/>
              <w:spacing w:before="24" w:line="232" w:lineRule="auto"/>
              <w:ind w:left="121" w:right="106" w:hanging="9"/>
              <w:rPr>
                <w:rFonts w:ascii="FangSong_GB2312" w:hAnsi="FangSong_GB2312" w:eastAsia="FangSong_GB2312" w:cs="FangSong_GB2312"/>
                <w:sz w:val="23"/>
                <w:szCs w:val="23"/>
              </w:rPr>
            </w:pPr>
            <w:r>
              <w:rPr>
                <w:spacing w:val="6"/>
                <w:sz w:val="23"/>
                <w:szCs w:val="23"/>
              </w:rPr>
              <w:t>3</w:t>
            </w:r>
            <w:r>
              <w:rPr>
                <w:rFonts w:ascii="FangSong_GB2312" w:hAnsi="FangSong_GB2312" w:eastAsia="FangSong_GB2312" w:cs="FangSong_GB2312"/>
                <w:spacing w:val="6"/>
                <w:sz w:val="23"/>
                <w:szCs w:val="23"/>
              </w:rPr>
              <w:t>、农业主推技术到位率共</w:t>
            </w:r>
            <w:r>
              <w:rPr>
                <w:rFonts w:ascii="FangSong_GB2312" w:hAnsi="FangSong_GB2312" w:eastAsia="FangSong_GB2312" w:cs="FangSong_GB2312"/>
                <w:spacing w:val="-23"/>
                <w:sz w:val="23"/>
                <w:szCs w:val="23"/>
              </w:rPr>
              <w:t xml:space="preserve"> </w:t>
            </w:r>
            <w:r>
              <w:rPr>
                <w:spacing w:val="6"/>
                <w:sz w:val="23"/>
                <w:szCs w:val="23"/>
              </w:rPr>
              <w:t>10</w:t>
            </w:r>
            <w:r>
              <w:rPr>
                <w:spacing w:val="18"/>
                <w:w w:val="101"/>
                <w:sz w:val="23"/>
                <w:szCs w:val="23"/>
              </w:rPr>
              <w:t xml:space="preserve"> </w:t>
            </w:r>
            <w:r>
              <w:rPr>
                <w:rFonts w:ascii="FangSong_GB2312" w:hAnsi="FangSong_GB2312" w:eastAsia="FangSong_GB2312" w:cs="FangSong_GB2312"/>
                <w:spacing w:val="6"/>
                <w:sz w:val="23"/>
                <w:szCs w:val="23"/>
              </w:rPr>
              <w:t>分，超过</w:t>
            </w:r>
            <w:r>
              <w:rPr>
                <w:rFonts w:ascii="FangSong_GB2312" w:hAnsi="FangSong_GB2312" w:eastAsia="FangSong_GB2312" w:cs="FangSong_GB2312"/>
                <w:spacing w:val="-41"/>
                <w:sz w:val="23"/>
                <w:szCs w:val="23"/>
              </w:rPr>
              <w:t xml:space="preserve"> </w:t>
            </w:r>
            <w:r>
              <w:rPr>
                <w:spacing w:val="6"/>
                <w:sz w:val="23"/>
                <w:szCs w:val="23"/>
              </w:rPr>
              <w:t>95%</w:t>
            </w:r>
            <w:r>
              <w:rPr>
                <w:rFonts w:ascii="FangSong_GB2312" w:hAnsi="FangSong_GB2312" w:eastAsia="FangSong_GB2312" w:cs="FangSong_GB2312"/>
                <w:spacing w:val="6"/>
                <w:sz w:val="23"/>
                <w:szCs w:val="23"/>
              </w:rPr>
              <w:t>得</w:t>
            </w:r>
            <w:r>
              <w:rPr>
                <w:rFonts w:ascii="FangSong_GB2312" w:hAnsi="FangSong_GB2312" w:eastAsia="FangSong_GB2312" w:cs="FangSong_GB2312"/>
                <w:spacing w:val="-24"/>
                <w:sz w:val="23"/>
                <w:szCs w:val="23"/>
              </w:rPr>
              <w:t xml:space="preserve"> </w:t>
            </w:r>
            <w:r>
              <w:rPr>
                <w:spacing w:val="6"/>
                <w:sz w:val="23"/>
                <w:szCs w:val="23"/>
              </w:rPr>
              <w:t>10</w:t>
            </w:r>
            <w:r>
              <w:rPr>
                <w:spacing w:val="21"/>
                <w:sz w:val="23"/>
                <w:szCs w:val="23"/>
              </w:rPr>
              <w:t xml:space="preserve"> </w:t>
            </w:r>
            <w:r>
              <w:rPr>
                <w:rFonts w:ascii="FangSong_GB2312" w:hAnsi="FangSong_GB2312" w:eastAsia="FangSong_GB2312" w:cs="FangSong_GB2312"/>
                <w:spacing w:val="6"/>
                <w:sz w:val="23"/>
                <w:szCs w:val="23"/>
              </w:rPr>
              <w:t>分，每少</w:t>
            </w:r>
            <w:r>
              <w:rPr>
                <w:rFonts w:ascii="FangSong_GB2312" w:hAnsi="FangSong_GB2312" w:eastAsia="FangSong_GB2312" w:cs="FangSong_GB2312"/>
                <w:spacing w:val="-25"/>
                <w:sz w:val="23"/>
                <w:szCs w:val="23"/>
              </w:rPr>
              <w:t xml:space="preserve"> </w:t>
            </w:r>
            <w:r>
              <w:rPr>
                <w:spacing w:val="6"/>
                <w:sz w:val="23"/>
                <w:szCs w:val="23"/>
              </w:rPr>
              <w:t xml:space="preserve">1 </w:t>
            </w:r>
            <w:r>
              <w:rPr>
                <w:rFonts w:ascii="FangSong_GB2312" w:hAnsi="FangSong_GB2312" w:eastAsia="FangSong_GB2312" w:cs="FangSong_GB2312"/>
                <w:spacing w:val="6"/>
                <w:sz w:val="23"/>
                <w:szCs w:val="23"/>
              </w:rPr>
              <w:t>个</w:t>
            </w:r>
            <w:r>
              <w:rPr>
                <w:rFonts w:ascii="FangSong_GB2312" w:hAnsi="FangSong_GB2312" w:eastAsia="FangSong_GB2312" w:cs="FangSong_GB2312"/>
                <w:sz w:val="23"/>
                <w:szCs w:val="23"/>
              </w:rPr>
              <w:t xml:space="preserve"> </w:t>
            </w:r>
            <w:r>
              <w:rPr>
                <w:rFonts w:ascii="FangSong_GB2312" w:hAnsi="FangSong_GB2312" w:eastAsia="FangSong_GB2312" w:cs="FangSong_GB2312"/>
                <w:spacing w:val="2"/>
                <w:sz w:val="23"/>
                <w:szCs w:val="23"/>
              </w:rPr>
              <w:t>百分点扣</w:t>
            </w:r>
            <w:r>
              <w:rPr>
                <w:rFonts w:ascii="FangSong_GB2312" w:hAnsi="FangSong_GB2312" w:eastAsia="FangSong_GB2312" w:cs="FangSong_GB2312"/>
                <w:spacing w:val="-38"/>
                <w:sz w:val="23"/>
                <w:szCs w:val="23"/>
              </w:rPr>
              <w:t xml:space="preserve"> </w:t>
            </w:r>
            <w:r>
              <w:rPr>
                <w:spacing w:val="2"/>
                <w:sz w:val="23"/>
                <w:szCs w:val="23"/>
              </w:rPr>
              <w:t xml:space="preserve">2 </w:t>
            </w:r>
            <w:r>
              <w:rPr>
                <w:rFonts w:ascii="FangSong_GB2312" w:hAnsi="FangSong_GB2312" w:eastAsia="FangSong_GB2312" w:cs="FangSong_GB2312"/>
                <w:spacing w:val="2"/>
                <w:sz w:val="23"/>
                <w:szCs w:val="23"/>
              </w:rPr>
              <w:t>分，扣完为止。</w:t>
            </w:r>
          </w:p>
        </w:tc>
        <w:tc>
          <w:tcPr>
            <w:tcW w:w="1559" w:type="dxa"/>
            <w:vMerge w:val="continue"/>
            <w:tcBorders>
              <w:top w:val="nil"/>
            </w:tcBorders>
            <w:noWrap w:val="0"/>
            <w:vAlign w:val="top"/>
          </w:tcPr>
          <w:p w14:paraId="4AF4F9AA">
            <w:pPr>
              <w:rPr>
                <w:rFonts w:ascii="Arial"/>
                <w:sz w:val="21"/>
              </w:rPr>
            </w:pPr>
          </w:p>
        </w:tc>
        <w:tc>
          <w:tcPr>
            <w:tcW w:w="1700" w:type="dxa"/>
            <w:noWrap w:val="0"/>
            <w:vAlign w:val="top"/>
          </w:tcPr>
          <w:p w14:paraId="1806470D">
            <w:pPr>
              <w:rPr>
                <w:rFonts w:ascii="Arial"/>
                <w:sz w:val="21"/>
              </w:rPr>
            </w:pPr>
          </w:p>
        </w:tc>
        <w:tc>
          <w:tcPr>
            <w:tcW w:w="807" w:type="dxa"/>
            <w:noWrap w:val="0"/>
            <w:vAlign w:val="top"/>
          </w:tcPr>
          <w:p w14:paraId="46772501">
            <w:pPr>
              <w:rPr>
                <w:rFonts w:ascii="Arial"/>
                <w:sz w:val="21"/>
              </w:rPr>
            </w:pPr>
          </w:p>
        </w:tc>
      </w:tr>
    </w:tbl>
    <w:p w14:paraId="1B6AE867">
      <w:pPr>
        <w:rPr>
          <w:rFonts w:ascii="Arial" w:hAnsi="Arial" w:eastAsia="Arial" w:cs="Arial"/>
          <w:sz w:val="21"/>
          <w:szCs w:val="21"/>
        </w:rPr>
        <w:sectPr>
          <w:footerReference r:id="rId8" w:type="default"/>
          <w:pgSz w:w="16838" w:h="11906"/>
          <w:pgMar w:top="1011" w:right="1229" w:bottom="1272" w:left="1221" w:header="0" w:footer="992" w:gutter="0"/>
          <w:cols w:space="720" w:num="1"/>
        </w:sectPr>
      </w:pPr>
    </w:p>
    <w:p w14:paraId="33EBF15C">
      <w:pPr>
        <w:spacing w:before="38"/>
      </w:pPr>
    </w:p>
    <w:tbl>
      <w:tblPr>
        <w:tblStyle w:val="20"/>
        <w:tblW w:w="142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1207"/>
        <w:gridCol w:w="1268"/>
        <w:gridCol w:w="576"/>
        <w:gridCol w:w="6848"/>
        <w:gridCol w:w="1569"/>
        <w:gridCol w:w="1691"/>
        <w:gridCol w:w="603"/>
      </w:tblGrid>
      <w:tr w14:paraId="4504C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461" w:type="dxa"/>
            <w:noWrap w:val="0"/>
            <w:textDirection w:val="tbRlV"/>
            <w:vAlign w:val="top"/>
          </w:tcPr>
          <w:p w14:paraId="33AB2F30">
            <w:pPr>
              <w:spacing w:before="107" w:line="216" w:lineRule="auto"/>
              <w:ind w:left="38"/>
              <w:rPr>
                <w:rFonts w:ascii="黑体" w:hAnsi="黑体" w:eastAsia="黑体" w:cs="黑体"/>
                <w:sz w:val="23"/>
                <w:szCs w:val="23"/>
              </w:rPr>
            </w:pPr>
            <w:r>
              <w:rPr>
                <w:rFonts w:ascii="黑体" w:hAnsi="黑体" w:eastAsia="黑体" w:cs="黑体"/>
                <w:spacing w:val="13"/>
                <w:sz w:val="23"/>
                <w:szCs w:val="23"/>
              </w:rPr>
              <w:t>序</w:t>
            </w:r>
            <w:r>
              <w:rPr>
                <w:rFonts w:ascii="黑体" w:hAnsi="黑体" w:eastAsia="黑体" w:cs="黑体"/>
                <w:spacing w:val="-59"/>
                <w:sz w:val="23"/>
                <w:szCs w:val="23"/>
              </w:rPr>
              <w:t xml:space="preserve"> </w:t>
            </w:r>
            <w:r>
              <w:rPr>
                <w:rFonts w:ascii="黑体" w:hAnsi="黑体" w:eastAsia="黑体" w:cs="黑体"/>
                <w:spacing w:val="13"/>
                <w:sz w:val="23"/>
                <w:szCs w:val="23"/>
              </w:rPr>
              <w:t>号</w:t>
            </w:r>
          </w:p>
        </w:tc>
        <w:tc>
          <w:tcPr>
            <w:tcW w:w="1207" w:type="dxa"/>
            <w:noWrap w:val="0"/>
            <w:vAlign w:val="top"/>
          </w:tcPr>
          <w:p w14:paraId="33370AED">
            <w:pPr>
              <w:spacing w:before="189" w:line="229" w:lineRule="auto"/>
              <w:ind w:left="130"/>
              <w:rPr>
                <w:rFonts w:ascii="黑体" w:hAnsi="黑体" w:eastAsia="黑体" w:cs="黑体"/>
                <w:sz w:val="23"/>
                <w:szCs w:val="23"/>
              </w:rPr>
            </w:pPr>
            <w:r>
              <w:rPr>
                <w:rFonts w:ascii="黑体" w:hAnsi="黑体" w:eastAsia="黑体" w:cs="黑体"/>
                <w:spacing w:val="6"/>
                <w:sz w:val="23"/>
                <w:szCs w:val="23"/>
              </w:rPr>
              <w:t>一级指标</w:t>
            </w:r>
          </w:p>
        </w:tc>
        <w:tc>
          <w:tcPr>
            <w:tcW w:w="1268" w:type="dxa"/>
            <w:noWrap w:val="0"/>
            <w:vAlign w:val="top"/>
          </w:tcPr>
          <w:p w14:paraId="14F913DD">
            <w:pPr>
              <w:spacing w:before="189" w:line="229" w:lineRule="auto"/>
              <w:ind w:left="162"/>
              <w:rPr>
                <w:rFonts w:ascii="黑体" w:hAnsi="黑体" w:eastAsia="黑体" w:cs="黑体"/>
                <w:sz w:val="23"/>
                <w:szCs w:val="23"/>
              </w:rPr>
            </w:pPr>
            <w:r>
              <w:rPr>
                <w:rFonts w:ascii="黑体" w:hAnsi="黑体" w:eastAsia="黑体" w:cs="黑体"/>
                <w:spacing w:val="6"/>
                <w:sz w:val="23"/>
                <w:szCs w:val="23"/>
              </w:rPr>
              <w:t>二级指标</w:t>
            </w:r>
          </w:p>
        </w:tc>
        <w:tc>
          <w:tcPr>
            <w:tcW w:w="576" w:type="dxa"/>
            <w:noWrap w:val="0"/>
            <w:textDirection w:val="tbRlV"/>
            <w:vAlign w:val="top"/>
          </w:tcPr>
          <w:p w14:paraId="15D1D99A">
            <w:pPr>
              <w:spacing w:before="168" w:line="215" w:lineRule="auto"/>
              <w:ind w:left="38"/>
              <w:rPr>
                <w:rFonts w:ascii="黑体" w:hAnsi="黑体" w:eastAsia="黑体" w:cs="黑体"/>
                <w:sz w:val="23"/>
                <w:szCs w:val="23"/>
              </w:rPr>
            </w:pPr>
            <w:r>
              <w:rPr>
                <w:rFonts w:ascii="黑体" w:hAnsi="黑体" w:eastAsia="黑体" w:cs="黑体"/>
                <w:spacing w:val="13"/>
                <w:sz w:val="23"/>
                <w:szCs w:val="23"/>
              </w:rPr>
              <w:t>分</w:t>
            </w:r>
            <w:r>
              <w:rPr>
                <w:rFonts w:ascii="黑体" w:hAnsi="黑体" w:eastAsia="黑体" w:cs="黑体"/>
                <w:spacing w:val="-59"/>
                <w:sz w:val="23"/>
                <w:szCs w:val="23"/>
              </w:rPr>
              <w:t xml:space="preserve"> </w:t>
            </w:r>
            <w:r>
              <w:rPr>
                <w:rFonts w:ascii="黑体" w:hAnsi="黑体" w:eastAsia="黑体" w:cs="黑体"/>
                <w:spacing w:val="13"/>
                <w:sz w:val="23"/>
                <w:szCs w:val="23"/>
              </w:rPr>
              <w:t>值</w:t>
            </w:r>
          </w:p>
        </w:tc>
        <w:tc>
          <w:tcPr>
            <w:tcW w:w="6848" w:type="dxa"/>
            <w:noWrap w:val="0"/>
            <w:vAlign w:val="top"/>
          </w:tcPr>
          <w:p w14:paraId="15AC4D45">
            <w:pPr>
              <w:spacing w:before="189" w:line="230" w:lineRule="auto"/>
              <w:ind w:left="2950"/>
              <w:rPr>
                <w:rFonts w:ascii="黑体" w:hAnsi="黑体" w:eastAsia="黑体" w:cs="黑体"/>
                <w:sz w:val="23"/>
                <w:szCs w:val="23"/>
              </w:rPr>
            </w:pPr>
            <w:r>
              <w:rPr>
                <w:rFonts w:ascii="黑体" w:hAnsi="黑体" w:eastAsia="黑体" w:cs="黑体"/>
                <w:spacing w:val="7"/>
                <w:sz w:val="23"/>
                <w:szCs w:val="23"/>
              </w:rPr>
              <w:t>评分标准</w:t>
            </w:r>
          </w:p>
        </w:tc>
        <w:tc>
          <w:tcPr>
            <w:tcW w:w="1569" w:type="dxa"/>
            <w:noWrap w:val="0"/>
            <w:vAlign w:val="top"/>
          </w:tcPr>
          <w:p w14:paraId="6CC3189E">
            <w:pPr>
              <w:spacing w:before="189" w:line="230" w:lineRule="auto"/>
              <w:ind w:left="311"/>
              <w:rPr>
                <w:rFonts w:ascii="黑体" w:hAnsi="黑体" w:eastAsia="黑体" w:cs="黑体"/>
                <w:sz w:val="23"/>
                <w:szCs w:val="23"/>
              </w:rPr>
            </w:pPr>
            <w:r>
              <w:rPr>
                <w:rFonts w:ascii="黑体" w:hAnsi="黑体" w:eastAsia="黑体" w:cs="黑体"/>
                <w:spacing w:val="7"/>
                <w:sz w:val="23"/>
                <w:szCs w:val="23"/>
              </w:rPr>
              <w:t>评分依据</w:t>
            </w:r>
          </w:p>
        </w:tc>
        <w:tc>
          <w:tcPr>
            <w:tcW w:w="1691" w:type="dxa"/>
            <w:noWrap w:val="0"/>
            <w:vAlign w:val="top"/>
          </w:tcPr>
          <w:p w14:paraId="5F16BE4F">
            <w:pPr>
              <w:spacing w:before="38" w:line="225" w:lineRule="auto"/>
              <w:ind w:right="359"/>
              <w:jc w:val="center"/>
              <w:rPr>
                <w:rFonts w:ascii="黑体" w:hAnsi="黑体" w:eastAsia="黑体" w:cs="黑体"/>
                <w:sz w:val="23"/>
                <w:szCs w:val="23"/>
              </w:rPr>
            </w:pPr>
            <w:r>
              <w:rPr>
                <w:rFonts w:ascii="黑体" w:hAnsi="黑体" w:eastAsia="黑体" w:cs="黑体"/>
                <w:spacing w:val="7"/>
                <w:sz w:val="23"/>
                <w:szCs w:val="23"/>
              </w:rPr>
              <w:t>扣分及扣分原由</w:t>
            </w:r>
          </w:p>
        </w:tc>
        <w:tc>
          <w:tcPr>
            <w:tcW w:w="603" w:type="dxa"/>
            <w:noWrap w:val="0"/>
            <w:textDirection w:val="tbRlV"/>
            <w:vAlign w:val="top"/>
          </w:tcPr>
          <w:p w14:paraId="76778BF1">
            <w:pPr>
              <w:spacing w:before="177" w:line="215" w:lineRule="auto"/>
              <w:ind w:left="38"/>
              <w:rPr>
                <w:rFonts w:ascii="黑体" w:hAnsi="黑体" w:eastAsia="黑体" w:cs="黑体"/>
                <w:sz w:val="23"/>
                <w:szCs w:val="23"/>
              </w:rPr>
            </w:pPr>
            <w:r>
              <w:rPr>
                <w:rFonts w:ascii="黑体" w:hAnsi="黑体" w:eastAsia="黑体" w:cs="黑体"/>
                <w:spacing w:val="13"/>
                <w:sz w:val="23"/>
                <w:szCs w:val="23"/>
              </w:rPr>
              <w:t>得</w:t>
            </w:r>
            <w:r>
              <w:rPr>
                <w:rFonts w:ascii="黑体" w:hAnsi="黑体" w:eastAsia="黑体" w:cs="黑体"/>
                <w:spacing w:val="-59"/>
                <w:sz w:val="23"/>
                <w:szCs w:val="23"/>
              </w:rPr>
              <w:t xml:space="preserve"> </w:t>
            </w:r>
            <w:r>
              <w:rPr>
                <w:rFonts w:ascii="黑体" w:hAnsi="黑体" w:eastAsia="黑体" w:cs="黑体"/>
                <w:spacing w:val="13"/>
                <w:sz w:val="23"/>
                <w:szCs w:val="23"/>
              </w:rPr>
              <w:t>分</w:t>
            </w:r>
          </w:p>
        </w:tc>
      </w:tr>
      <w:tr w14:paraId="2C18F4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461" w:type="dxa"/>
            <w:noWrap w:val="0"/>
            <w:vAlign w:val="top"/>
          </w:tcPr>
          <w:p w14:paraId="71AF52C9">
            <w:pPr>
              <w:spacing w:line="251" w:lineRule="auto"/>
              <w:rPr>
                <w:rFonts w:ascii="Arial"/>
                <w:sz w:val="21"/>
              </w:rPr>
            </w:pPr>
          </w:p>
          <w:p w14:paraId="76DFCCDB">
            <w:pPr>
              <w:spacing w:line="251" w:lineRule="auto"/>
              <w:rPr>
                <w:rFonts w:ascii="Arial"/>
                <w:sz w:val="21"/>
              </w:rPr>
            </w:pPr>
          </w:p>
          <w:p w14:paraId="04E81527">
            <w:pPr>
              <w:spacing w:line="251" w:lineRule="auto"/>
              <w:rPr>
                <w:rFonts w:ascii="Arial"/>
                <w:sz w:val="21"/>
              </w:rPr>
            </w:pPr>
          </w:p>
          <w:p w14:paraId="2A6C8F70">
            <w:pPr>
              <w:pStyle w:val="21"/>
              <w:spacing w:before="66" w:line="195" w:lineRule="auto"/>
              <w:ind w:left="172"/>
              <w:rPr>
                <w:sz w:val="23"/>
                <w:szCs w:val="23"/>
              </w:rPr>
            </w:pPr>
            <w:r>
              <w:rPr>
                <w:spacing w:val="1"/>
                <w:sz w:val="23"/>
                <w:szCs w:val="23"/>
              </w:rPr>
              <w:t>4</w:t>
            </w:r>
          </w:p>
        </w:tc>
        <w:tc>
          <w:tcPr>
            <w:tcW w:w="1207" w:type="dxa"/>
            <w:vMerge w:val="restart"/>
            <w:tcBorders>
              <w:bottom w:val="nil"/>
            </w:tcBorders>
            <w:noWrap w:val="0"/>
            <w:vAlign w:val="top"/>
          </w:tcPr>
          <w:p w14:paraId="0E010C56">
            <w:pPr>
              <w:spacing w:line="254" w:lineRule="auto"/>
              <w:rPr>
                <w:rFonts w:ascii="Arial"/>
                <w:sz w:val="21"/>
              </w:rPr>
            </w:pPr>
          </w:p>
          <w:p w14:paraId="5F861EFB">
            <w:pPr>
              <w:spacing w:line="255" w:lineRule="auto"/>
              <w:rPr>
                <w:rFonts w:ascii="Arial"/>
                <w:sz w:val="21"/>
              </w:rPr>
            </w:pPr>
          </w:p>
          <w:p w14:paraId="15C5F4C1">
            <w:pPr>
              <w:spacing w:line="255" w:lineRule="auto"/>
              <w:rPr>
                <w:rFonts w:ascii="Arial"/>
                <w:sz w:val="21"/>
              </w:rPr>
            </w:pPr>
          </w:p>
          <w:p w14:paraId="4948C071">
            <w:pPr>
              <w:spacing w:line="255" w:lineRule="auto"/>
              <w:rPr>
                <w:rFonts w:ascii="Arial"/>
                <w:sz w:val="21"/>
              </w:rPr>
            </w:pPr>
          </w:p>
          <w:p w14:paraId="70FC3985">
            <w:pPr>
              <w:spacing w:line="255" w:lineRule="auto"/>
              <w:rPr>
                <w:rFonts w:ascii="Arial"/>
                <w:sz w:val="21"/>
              </w:rPr>
            </w:pPr>
          </w:p>
          <w:p w14:paraId="36BF21A6">
            <w:pPr>
              <w:pStyle w:val="21"/>
              <w:spacing w:before="75" w:line="233" w:lineRule="auto"/>
              <w:ind w:left="108" w:right="83" w:firstLine="29"/>
              <w:rPr>
                <w:rFonts w:ascii="FangSong_GB2312" w:hAnsi="FangSong_GB2312" w:eastAsia="FangSong_GB2312" w:cs="FangSong_GB2312"/>
                <w:sz w:val="23"/>
                <w:szCs w:val="23"/>
              </w:rPr>
            </w:pPr>
            <w:r>
              <w:rPr>
                <w:rFonts w:ascii="FangSong_GB2312" w:hAnsi="FangSong_GB2312" w:eastAsia="FangSong_GB2312" w:cs="FangSong_GB2312"/>
                <w:spacing w:val="5"/>
                <w:sz w:val="23"/>
                <w:szCs w:val="23"/>
              </w:rPr>
              <w:t>重点工作</w:t>
            </w:r>
            <w:r>
              <w:rPr>
                <w:rFonts w:ascii="FangSong_GB2312" w:hAnsi="FangSong_GB2312" w:eastAsia="FangSong_GB2312" w:cs="FangSong_GB2312"/>
                <w:sz w:val="23"/>
                <w:szCs w:val="23"/>
              </w:rPr>
              <w:t xml:space="preserve"> </w:t>
            </w:r>
            <w:r>
              <w:rPr>
                <w:rFonts w:hint="eastAsia" w:ascii="FangSong_GB2312" w:hAnsi="FangSong_GB2312" w:eastAsia="FangSong_GB2312" w:cs="FangSong_GB2312"/>
                <w:sz w:val="23"/>
                <w:szCs w:val="23"/>
                <w:lang w:val="en-US" w:eastAsia="zh-CN"/>
              </w:rPr>
              <w:t>(</w:t>
            </w:r>
            <w:r>
              <w:rPr>
                <w:spacing w:val="3"/>
                <w:sz w:val="23"/>
                <w:szCs w:val="23"/>
              </w:rPr>
              <w:t>80</w:t>
            </w:r>
            <w:r>
              <w:rPr>
                <w:rFonts w:ascii="FangSong_GB2312" w:hAnsi="FangSong_GB2312" w:eastAsia="FangSong_GB2312" w:cs="FangSong_GB2312"/>
                <w:spacing w:val="3"/>
                <w:sz w:val="23"/>
                <w:szCs w:val="23"/>
              </w:rPr>
              <w:t>分）</w:t>
            </w:r>
          </w:p>
        </w:tc>
        <w:tc>
          <w:tcPr>
            <w:tcW w:w="1268" w:type="dxa"/>
            <w:noWrap w:val="0"/>
            <w:vAlign w:val="top"/>
          </w:tcPr>
          <w:p w14:paraId="701DBB8C">
            <w:pPr>
              <w:spacing w:line="278" w:lineRule="auto"/>
              <w:rPr>
                <w:rFonts w:ascii="Arial"/>
                <w:sz w:val="21"/>
              </w:rPr>
            </w:pPr>
          </w:p>
          <w:p w14:paraId="541C0343">
            <w:pPr>
              <w:spacing w:line="279" w:lineRule="auto"/>
              <w:rPr>
                <w:rFonts w:ascii="Arial"/>
                <w:sz w:val="21"/>
              </w:rPr>
            </w:pPr>
          </w:p>
          <w:p w14:paraId="4B73F8CD">
            <w:pPr>
              <w:spacing w:before="75" w:line="232" w:lineRule="auto"/>
              <w:ind w:left="286" w:right="154" w:hanging="126"/>
              <w:rPr>
                <w:rFonts w:ascii="FangSong_GB2312" w:hAnsi="FangSong_GB2312" w:eastAsia="FangSong_GB2312" w:cs="FangSong_GB2312"/>
                <w:sz w:val="23"/>
                <w:szCs w:val="23"/>
              </w:rPr>
            </w:pPr>
            <w:r>
              <w:rPr>
                <w:rFonts w:ascii="FangSong_GB2312" w:hAnsi="FangSong_GB2312" w:eastAsia="FangSong_GB2312" w:cs="FangSong_GB2312"/>
                <w:spacing w:val="7"/>
                <w:sz w:val="23"/>
                <w:szCs w:val="23"/>
              </w:rPr>
              <w:t>农技信息</w:t>
            </w:r>
            <w:r>
              <w:rPr>
                <w:rFonts w:ascii="FangSong_GB2312" w:hAnsi="FangSong_GB2312" w:eastAsia="FangSong_GB2312" w:cs="FangSong_GB2312"/>
                <w:sz w:val="23"/>
                <w:szCs w:val="23"/>
              </w:rPr>
              <w:t xml:space="preserve"> </w:t>
            </w:r>
            <w:r>
              <w:rPr>
                <w:rFonts w:ascii="FangSong_GB2312" w:hAnsi="FangSong_GB2312" w:eastAsia="FangSong_GB2312" w:cs="FangSong_GB2312"/>
                <w:spacing w:val="4"/>
                <w:sz w:val="23"/>
                <w:szCs w:val="23"/>
              </w:rPr>
              <w:t>化工作</w:t>
            </w:r>
          </w:p>
        </w:tc>
        <w:tc>
          <w:tcPr>
            <w:tcW w:w="576" w:type="dxa"/>
            <w:noWrap w:val="0"/>
            <w:vAlign w:val="top"/>
          </w:tcPr>
          <w:p w14:paraId="772F86F8">
            <w:pPr>
              <w:spacing w:line="251" w:lineRule="auto"/>
              <w:rPr>
                <w:rFonts w:ascii="Arial"/>
                <w:sz w:val="21"/>
              </w:rPr>
            </w:pPr>
          </w:p>
          <w:p w14:paraId="598044D8">
            <w:pPr>
              <w:spacing w:line="251" w:lineRule="auto"/>
              <w:rPr>
                <w:rFonts w:ascii="Arial"/>
                <w:sz w:val="21"/>
              </w:rPr>
            </w:pPr>
          </w:p>
          <w:p w14:paraId="162C9EEA">
            <w:pPr>
              <w:spacing w:line="252" w:lineRule="auto"/>
              <w:rPr>
                <w:rFonts w:ascii="Arial"/>
                <w:sz w:val="21"/>
              </w:rPr>
            </w:pPr>
          </w:p>
          <w:p w14:paraId="1716F911">
            <w:pPr>
              <w:pStyle w:val="21"/>
              <w:spacing w:before="66" w:line="194" w:lineRule="auto"/>
              <w:ind w:left="167"/>
              <w:rPr>
                <w:sz w:val="23"/>
                <w:szCs w:val="23"/>
              </w:rPr>
            </w:pPr>
            <w:r>
              <w:rPr>
                <w:spacing w:val="1"/>
                <w:sz w:val="23"/>
                <w:szCs w:val="23"/>
              </w:rPr>
              <w:t>20</w:t>
            </w:r>
          </w:p>
        </w:tc>
        <w:tc>
          <w:tcPr>
            <w:tcW w:w="6848" w:type="dxa"/>
            <w:noWrap w:val="0"/>
            <w:vAlign w:val="top"/>
          </w:tcPr>
          <w:p w14:paraId="11BA5D79">
            <w:pPr>
              <w:pStyle w:val="21"/>
              <w:spacing w:before="35" w:line="231" w:lineRule="auto"/>
              <w:ind w:left="111" w:right="96" w:firstLine="18"/>
              <w:rPr>
                <w:rFonts w:ascii="FangSong_GB2312" w:hAnsi="FangSong_GB2312" w:eastAsia="FangSong_GB2312" w:cs="FangSong_GB2312"/>
                <w:sz w:val="23"/>
                <w:szCs w:val="23"/>
              </w:rPr>
            </w:pPr>
            <w:r>
              <w:rPr>
                <w:spacing w:val="4"/>
                <w:sz w:val="23"/>
                <w:szCs w:val="23"/>
              </w:rPr>
              <w:t>1</w:t>
            </w:r>
            <w:r>
              <w:rPr>
                <w:rFonts w:ascii="FangSong_GB2312" w:hAnsi="FangSong_GB2312" w:eastAsia="FangSong_GB2312" w:cs="FangSong_GB2312"/>
                <w:spacing w:val="4"/>
                <w:sz w:val="23"/>
                <w:szCs w:val="23"/>
              </w:rPr>
              <w:t>、农技人员使用中国农技推广</w:t>
            </w:r>
            <w:r>
              <w:rPr>
                <w:rFonts w:ascii="FangSong_GB2312" w:hAnsi="FangSong_GB2312" w:eastAsia="FangSong_GB2312" w:cs="FangSong_GB2312"/>
                <w:spacing w:val="-53"/>
                <w:sz w:val="23"/>
                <w:szCs w:val="23"/>
              </w:rPr>
              <w:t xml:space="preserve"> </w:t>
            </w:r>
            <w:r>
              <w:rPr>
                <w:sz w:val="23"/>
                <w:szCs w:val="23"/>
              </w:rPr>
              <w:t>APP</w:t>
            </w:r>
            <w:r>
              <w:rPr>
                <w:spacing w:val="51"/>
                <w:w w:val="101"/>
                <w:sz w:val="23"/>
                <w:szCs w:val="23"/>
              </w:rPr>
              <w:t xml:space="preserve"> </w:t>
            </w:r>
            <w:r>
              <w:rPr>
                <w:rFonts w:ascii="FangSong_GB2312" w:hAnsi="FangSong_GB2312" w:eastAsia="FangSong_GB2312" w:cs="FangSong_GB2312"/>
                <w:spacing w:val="4"/>
                <w:sz w:val="23"/>
                <w:szCs w:val="23"/>
              </w:rPr>
              <w:t>比例不低于</w:t>
            </w:r>
            <w:r>
              <w:rPr>
                <w:rFonts w:ascii="FangSong_GB2312" w:hAnsi="FangSong_GB2312" w:eastAsia="FangSong_GB2312" w:cs="FangSong_GB2312"/>
                <w:spacing w:val="-41"/>
                <w:sz w:val="23"/>
                <w:szCs w:val="23"/>
              </w:rPr>
              <w:t xml:space="preserve"> </w:t>
            </w:r>
            <w:r>
              <w:rPr>
                <w:spacing w:val="4"/>
                <w:sz w:val="23"/>
                <w:szCs w:val="23"/>
              </w:rPr>
              <w:t>85%</w:t>
            </w:r>
            <w:r>
              <w:rPr>
                <w:rFonts w:ascii="FangSong_GB2312" w:hAnsi="FangSong_GB2312" w:eastAsia="FangSong_GB2312" w:cs="FangSong_GB2312"/>
                <w:spacing w:val="3"/>
                <w:sz w:val="23"/>
                <w:szCs w:val="23"/>
              </w:rPr>
              <w:t>的得</w:t>
            </w:r>
            <w:r>
              <w:rPr>
                <w:rFonts w:ascii="FangSong_GB2312" w:hAnsi="FangSong_GB2312" w:eastAsia="FangSong_GB2312" w:cs="FangSong_GB2312"/>
                <w:spacing w:val="-43"/>
                <w:sz w:val="23"/>
                <w:szCs w:val="23"/>
              </w:rPr>
              <w:t xml:space="preserve"> </w:t>
            </w:r>
            <w:r>
              <w:rPr>
                <w:spacing w:val="3"/>
                <w:sz w:val="23"/>
                <w:szCs w:val="23"/>
              </w:rPr>
              <w:t xml:space="preserve">5 </w:t>
            </w:r>
            <w:r>
              <w:rPr>
                <w:rFonts w:ascii="FangSong_GB2312" w:hAnsi="FangSong_GB2312" w:eastAsia="FangSong_GB2312" w:cs="FangSong_GB2312"/>
                <w:spacing w:val="3"/>
                <w:sz w:val="23"/>
                <w:szCs w:val="23"/>
              </w:rPr>
              <w:t>分，</w:t>
            </w:r>
            <w:r>
              <w:rPr>
                <w:rFonts w:ascii="FangSong_GB2312" w:hAnsi="FangSong_GB2312" w:eastAsia="FangSong_GB2312" w:cs="FangSong_GB2312"/>
                <w:sz w:val="23"/>
                <w:szCs w:val="23"/>
              </w:rPr>
              <w:t xml:space="preserve"> </w:t>
            </w:r>
            <w:r>
              <w:rPr>
                <w:rFonts w:ascii="FangSong_GB2312" w:hAnsi="FangSong_GB2312" w:eastAsia="FangSong_GB2312" w:cs="FangSong_GB2312"/>
                <w:spacing w:val="1"/>
                <w:sz w:val="23"/>
                <w:szCs w:val="23"/>
              </w:rPr>
              <w:t>每低</w:t>
            </w:r>
            <w:r>
              <w:rPr>
                <w:rFonts w:ascii="FangSong_GB2312" w:hAnsi="FangSong_GB2312" w:eastAsia="FangSong_GB2312" w:cs="FangSong_GB2312"/>
                <w:spacing w:val="-14"/>
                <w:sz w:val="23"/>
                <w:szCs w:val="23"/>
              </w:rPr>
              <w:t xml:space="preserve"> </w:t>
            </w:r>
            <w:r>
              <w:rPr>
                <w:spacing w:val="1"/>
                <w:sz w:val="23"/>
                <w:szCs w:val="23"/>
              </w:rPr>
              <w:t xml:space="preserve">1 </w:t>
            </w:r>
            <w:r>
              <w:rPr>
                <w:rFonts w:ascii="FangSong_GB2312" w:hAnsi="FangSong_GB2312" w:eastAsia="FangSong_GB2312" w:cs="FangSong_GB2312"/>
                <w:spacing w:val="1"/>
                <w:sz w:val="23"/>
                <w:szCs w:val="23"/>
              </w:rPr>
              <w:t>个百分点扣</w:t>
            </w:r>
            <w:r>
              <w:rPr>
                <w:rFonts w:ascii="FangSong_GB2312" w:hAnsi="FangSong_GB2312" w:eastAsia="FangSong_GB2312" w:cs="FangSong_GB2312"/>
                <w:spacing w:val="-46"/>
                <w:sz w:val="23"/>
                <w:szCs w:val="23"/>
              </w:rPr>
              <w:t xml:space="preserve"> </w:t>
            </w:r>
            <w:r>
              <w:rPr>
                <w:spacing w:val="1"/>
                <w:sz w:val="23"/>
                <w:szCs w:val="23"/>
              </w:rPr>
              <w:t>0.5</w:t>
            </w:r>
            <w:r>
              <w:rPr>
                <w:spacing w:val="16"/>
                <w:sz w:val="23"/>
                <w:szCs w:val="23"/>
              </w:rPr>
              <w:t xml:space="preserve"> </w:t>
            </w:r>
            <w:r>
              <w:rPr>
                <w:rFonts w:ascii="FangSong_GB2312" w:hAnsi="FangSong_GB2312" w:eastAsia="FangSong_GB2312" w:cs="FangSong_GB2312"/>
                <w:spacing w:val="1"/>
                <w:sz w:val="23"/>
                <w:szCs w:val="23"/>
              </w:rPr>
              <w:t>分，扣完为止；</w:t>
            </w:r>
          </w:p>
          <w:p w14:paraId="7E7E6342">
            <w:pPr>
              <w:pStyle w:val="21"/>
              <w:spacing w:before="24" w:line="231" w:lineRule="auto"/>
              <w:ind w:left="104" w:right="104" w:firstLine="3"/>
              <w:rPr>
                <w:rFonts w:ascii="FangSong_GB2312" w:hAnsi="FangSong_GB2312" w:eastAsia="FangSong_GB2312" w:cs="FangSong_GB2312"/>
                <w:sz w:val="23"/>
                <w:szCs w:val="23"/>
              </w:rPr>
            </w:pPr>
            <w:r>
              <w:rPr>
                <w:spacing w:val="7"/>
                <w:sz w:val="23"/>
                <w:szCs w:val="23"/>
              </w:rPr>
              <w:t>2</w:t>
            </w:r>
            <w:r>
              <w:rPr>
                <w:spacing w:val="-24"/>
                <w:sz w:val="23"/>
                <w:szCs w:val="23"/>
              </w:rPr>
              <w:t xml:space="preserve"> </w:t>
            </w:r>
            <w:r>
              <w:rPr>
                <w:rFonts w:ascii="FangSong_GB2312" w:hAnsi="FangSong_GB2312" w:eastAsia="FangSong_GB2312" w:cs="FangSong_GB2312"/>
                <w:spacing w:val="7"/>
                <w:sz w:val="23"/>
                <w:szCs w:val="23"/>
              </w:rPr>
              <w:t>、农技人员使用中国农技推广</w:t>
            </w:r>
            <w:r>
              <w:rPr>
                <w:rFonts w:ascii="FangSong_GB2312" w:hAnsi="FangSong_GB2312" w:eastAsia="FangSong_GB2312" w:cs="FangSong_GB2312"/>
                <w:spacing w:val="-53"/>
                <w:sz w:val="23"/>
                <w:szCs w:val="23"/>
              </w:rPr>
              <w:t xml:space="preserve"> </w:t>
            </w:r>
            <w:r>
              <w:rPr>
                <w:sz w:val="23"/>
                <w:szCs w:val="23"/>
              </w:rPr>
              <w:t>APP</w:t>
            </w:r>
            <w:r>
              <w:rPr>
                <w:spacing w:val="7"/>
                <w:sz w:val="23"/>
                <w:szCs w:val="23"/>
              </w:rPr>
              <w:t xml:space="preserve"> </w:t>
            </w:r>
            <w:r>
              <w:rPr>
                <w:rFonts w:ascii="FangSong_GB2312" w:hAnsi="FangSong_GB2312" w:eastAsia="FangSong_GB2312" w:cs="FangSong_GB2312"/>
                <w:spacing w:val="7"/>
                <w:sz w:val="23"/>
                <w:szCs w:val="23"/>
              </w:rPr>
              <w:t>每月报送有效日志、农情等</w:t>
            </w:r>
            <w:r>
              <w:rPr>
                <w:rFonts w:ascii="FangSong_GB2312" w:hAnsi="FangSong_GB2312" w:eastAsia="FangSong_GB2312" w:cs="FangSong_GB2312"/>
                <w:sz w:val="23"/>
                <w:szCs w:val="23"/>
              </w:rPr>
              <w:t xml:space="preserve"> </w:t>
            </w:r>
            <w:r>
              <w:rPr>
                <w:rFonts w:ascii="FangSong_GB2312" w:hAnsi="FangSong_GB2312" w:eastAsia="FangSong_GB2312" w:cs="FangSong_GB2312"/>
                <w:spacing w:val="5"/>
                <w:sz w:val="23"/>
                <w:szCs w:val="23"/>
              </w:rPr>
              <w:t>信息人均不少于</w:t>
            </w:r>
            <w:r>
              <w:rPr>
                <w:rFonts w:ascii="FangSong_GB2312" w:hAnsi="FangSong_GB2312" w:eastAsia="FangSong_GB2312" w:cs="FangSong_GB2312"/>
                <w:spacing w:val="-50"/>
                <w:sz w:val="23"/>
                <w:szCs w:val="23"/>
              </w:rPr>
              <w:t xml:space="preserve"> </w:t>
            </w:r>
            <w:r>
              <w:rPr>
                <w:spacing w:val="5"/>
                <w:sz w:val="23"/>
                <w:szCs w:val="23"/>
              </w:rPr>
              <w:t xml:space="preserve">2 </w:t>
            </w:r>
            <w:r>
              <w:rPr>
                <w:rFonts w:ascii="FangSong_GB2312" w:hAnsi="FangSong_GB2312" w:eastAsia="FangSong_GB2312" w:cs="FangSong_GB2312"/>
                <w:spacing w:val="5"/>
                <w:sz w:val="23"/>
                <w:szCs w:val="23"/>
              </w:rPr>
              <w:t>条得</w:t>
            </w:r>
            <w:r>
              <w:rPr>
                <w:rFonts w:ascii="FangSong_GB2312" w:hAnsi="FangSong_GB2312" w:eastAsia="FangSong_GB2312" w:cs="FangSong_GB2312"/>
                <w:spacing w:val="-43"/>
                <w:sz w:val="23"/>
                <w:szCs w:val="23"/>
              </w:rPr>
              <w:t xml:space="preserve"> </w:t>
            </w:r>
            <w:r>
              <w:rPr>
                <w:spacing w:val="5"/>
                <w:sz w:val="23"/>
                <w:szCs w:val="23"/>
              </w:rPr>
              <w:t xml:space="preserve">5 </w:t>
            </w:r>
            <w:r>
              <w:rPr>
                <w:rFonts w:ascii="FangSong_GB2312" w:hAnsi="FangSong_GB2312" w:eastAsia="FangSong_GB2312" w:cs="FangSong_GB2312"/>
                <w:spacing w:val="5"/>
                <w:sz w:val="23"/>
                <w:szCs w:val="23"/>
              </w:rPr>
              <w:t>分，未到达不</w:t>
            </w:r>
            <w:r>
              <w:rPr>
                <w:rFonts w:ascii="FangSong_GB2312" w:hAnsi="FangSong_GB2312" w:eastAsia="FangSong_GB2312" w:cs="FangSong_GB2312"/>
                <w:spacing w:val="4"/>
                <w:sz w:val="23"/>
                <w:szCs w:val="23"/>
              </w:rPr>
              <w:t>得分；</w:t>
            </w:r>
          </w:p>
          <w:p w14:paraId="01AB1C2D">
            <w:pPr>
              <w:pStyle w:val="21"/>
              <w:spacing w:before="22" w:line="225" w:lineRule="auto"/>
              <w:ind w:left="121" w:right="80" w:hanging="9"/>
              <w:rPr>
                <w:rFonts w:ascii="FangSong_GB2312" w:hAnsi="FangSong_GB2312" w:eastAsia="FangSong_GB2312" w:cs="FangSong_GB2312"/>
                <w:sz w:val="23"/>
                <w:szCs w:val="23"/>
              </w:rPr>
            </w:pPr>
            <w:r>
              <w:rPr>
                <w:spacing w:val="4"/>
                <w:sz w:val="23"/>
                <w:szCs w:val="23"/>
              </w:rPr>
              <w:t>3</w:t>
            </w:r>
            <w:r>
              <w:rPr>
                <w:rFonts w:ascii="FangSong_GB2312" w:hAnsi="FangSong_GB2312" w:eastAsia="FangSong_GB2312" w:cs="FangSong_GB2312"/>
                <w:spacing w:val="4"/>
                <w:sz w:val="23"/>
                <w:szCs w:val="23"/>
              </w:rPr>
              <w:t xml:space="preserve">、农技推广任务组织实施情况在线填报、对外展示等共 </w:t>
            </w:r>
            <w:r>
              <w:rPr>
                <w:spacing w:val="4"/>
                <w:sz w:val="23"/>
                <w:szCs w:val="23"/>
              </w:rPr>
              <w:t>10</w:t>
            </w:r>
            <w:r>
              <w:rPr>
                <w:spacing w:val="32"/>
                <w:sz w:val="23"/>
                <w:szCs w:val="23"/>
              </w:rPr>
              <w:t xml:space="preserve"> </w:t>
            </w:r>
            <w:r>
              <w:rPr>
                <w:rFonts w:ascii="FangSong_GB2312" w:hAnsi="FangSong_GB2312" w:eastAsia="FangSong_GB2312" w:cs="FangSong_GB2312"/>
                <w:spacing w:val="4"/>
                <w:sz w:val="23"/>
                <w:szCs w:val="23"/>
              </w:rPr>
              <w:t>分，</w:t>
            </w:r>
            <w:r>
              <w:rPr>
                <w:rFonts w:ascii="FangSong_GB2312" w:hAnsi="FangSong_GB2312" w:eastAsia="FangSong_GB2312" w:cs="FangSong_GB2312"/>
                <w:sz w:val="23"/>
                <w:szCs w:val="23"/>
              </w:rPr>
              <w:t xml:space="preserve"> </w:t>
            </w:r>
            <w:r>
              <w:rPr>
                <w:rFonts w:ascii="FangSong_GB2312" w:hAnsi="FangSong_GB2312" w:eastAsia="FangSong_GB2312" w:cs="FangSong_GB2312"/>
                <w:spacing w:val="3"/>
                <w:sz w:val="23"/>
                <w:szCs w:val="23"/>
              </w:rPr>
              <w:t>综合考虑实施情况打分。</w:t>
            </w:r>
          </w:p>
        </w:tc>
        <w:tc>
          <w:tcPr>
            <w:tcW w:w="1569" w:type="dxa"/>
            <w:vMerge w:val="restart"/>
            <w:tcBorders>
              <w:bottom w:val="nil"/>
            </w:tcBorders>
            <w:noWrap w:val="0"/>
            <w:vAlign w:val="top"/>
          </w:tcPr>
          <w:p w14:paraId="13737E6B">
            <w:pPr>
              <w:spacing w:line="253" w:lineRule="auto"/>
              <w:rPr>
                <w:rFonts w:ascii="Arial"/>
                <w:sz w:val="21"/>
              </w:rPr>
            </w:pPr>
          </w:p>
          <w:p w14:paraId="7E2EC19B">
            <w:pPr>
              <w:spacing w:line="253" w:lineRule="auto"/>
              <w:rPr>
                <w:rFonts w:ascii="Arial"/>
                <w:sz w:val="21"/>
              </w:rPr>
            </w:pPr>
          </w:p>
          <w:p w14:paraId="7A6A118D">
            <w:pPr>
              <w:spacing w:line="253" w:lineRule="auto"/>
              <w:rPr>
                <w:rFonts w:ascii="Arial"/>
                <w:sz w:val="21"/>
              </w:rPr>
            </w:pPr>
          </w:p>
          <w:p w14:paraId="335F31EC">
            <w:pPr>
              <w:spacing w:line="253" w:lineRule="auto"/>
              <w:rPr>
                <w:rFonts w:ascii="Arial"/>
                <w:sz w:val="21"/>
              </w:rPr>
            </w:pPr>
          </w:p>
          <w:p w14:paraId="5391F3E5">
            <w:pPr>
              <w:spacing w:line="253" w:lineRule="auto"/>
              <w:rPr>
                <w:rFonts w:ascii="Arial"/>
                <w:sz w:val="21"/>
              </w:rPr>
            </w:pPr>
          </w:p>
          <w:p w14:paraId="2568C6EF">
            <w:pPr>
              <w:spacing w:line="253" w:lineRule="auto"/>
              <w:rPr>
                <w:rFonts w:ascii="Arial"/>
                <w:sz w:val="21"/>
              </w:rPr>
            </w:pPr>
          </w:p>
          <w:p w14:paraId="4F6A66A4">
            <w:pPr>
              <w:spacing w:line="254" w:lineRule="auto"/>
              <w:rPr>
                <w:rFonts w:ascii="Arial"/>
                <w:sz w:val="21"/>
              </w:rPr>
            </w:pPr>
          </w:p>
          <w:p w14:paraId="6D5643F3">
            <w:pPr>
              <w:pStyle w:val="21"/>
              <w:spacing w:before="75" w:line="238" w:lineRule="auto"/>
              <w:ind w:left="116" w:right="152" w:hanging="5"/>
              <w:jc w:val="both"/>
              <w:rPr>
                <w:rFonts w:ascii="FangSong_GB2312" w:hAnsi="FangSong_GB2312" w:eastAsia="FangSong_GB2312" w:cs="FangSong_GB2312"/>
                <w:sz w:val="23"/>
                <w:szCs w:val="23"/>
              </w:rPr>
            </w:pPr>
            <w:r>
              <w:rPr>
                <w:rFonts w:ascii="FangSong_GB2312" w:hAnsi="FangSong_GB2312" w:eastAsia="FangSong_GB2312" w:cs="FangSong_GB2312"/>
                <w:spacing w:val="7"/>
                <w:sz w:val="23"/>
                <w:szCs w:val="23"/>
              </w:rPr>
              <w:t>依据</w:t>
            </w:r>
            <w:r>
              <w:rPr>
                <w:spacing w:val="7"/>
                <w:sz w:val="23"/>
                <w:szCs w:val="23"/>
              </w:rPr>
              <w:t>“</w:t>
            </w:r>
            <w:r>
              <w:rPr>
                <w:rFonts w:ascii="FangSong_GB2312" w:hAnsi="FangSong_GB2312" w:eastAsia="FangSong_GB2312" w:cs="FangSong_GB2312"/>
                <w:spacing w:val="7"/>
                <w:sz w:val="23"/>
                <w:szCs w:val="23"/>
              </w:rPr>
              <w:t>中国农</w:t>
            </w:r>
            <w:r>
              <w:rPr>
                <w:rFonts w:ascii="FangSong_GB2312" w:hAnsi="FangSong_GB2312" w:eastAsia="FangSong_GB2312" w:cs="FangSong_GB2312"/>
                <w:spacing w:val="4"/>
                <w:sz w:val="23"/>
                <w:szCs w:val="23"/>
              </w:rPr>
              <w:t xml:space="preserve"> </w:t>
            </w:r>
            <w:r>
              <w:rPr>
                <w:rFonts w:ascii="FangSong_GB2312" w:hAnsi="FangSong_GB2312" w:eastAsia="FangSong_GB2312" w:cs="FangSong_GB2312"/>
                <w:spacing w:val="7"/>
                <w:sz w:val="23"/>
                <w:szCs w:val="23"/>
              </w:rPr>
              <w:t>技推广信息</w:t>
            </w:r>
            <w:r>
              <w:rPr>
                <w:rFonts w:ascii="FangSong_GB2312" w:hAnsi="FangSong_GB2312" w:eastAsia="FangSong_GB2312" w:cs="FangSong_GB2312"/>
                <w:spacing w:val="1"/>
                <w:sz w:val="23"/>
                <w:szCs w:val="23"/>
              </w:rPr>
              <w:t xml:space="preserve">  </w:t>
            </w:r>
            <w:r>
              <w:rPr>
                <w:rFonts w:ascii="FangSong_GB2312" w:hAnsi="FangSong_GB2312" w:eastAsia="FangSong_GB2312" w:cs="FangSong_GB2312"/>
                <w:spacing w:val="7"/>
                <w:sz w:val="23"/>
                <w:szCs w:val="23"/>
              </w:rPr>
              <w:t>平台</w:t>
            </w:r>
            <w:r>
              <w:rPr>
                <w:spacing w:val="7"/>
                <w:sz w:val="23"/>
                <w:szCs w:val="23"/>
              </w:rPr>
              <w:t>”</w:t>
            </w:r>
            <w:r>
              <w:rPr>
                <w:rFonts w:ascii="FangSong_GB2312" w:hAnsi="FangSong_GB2312" w:eastAsia="FangSong_GB2312" w:cs="FangSong_GB2312"/>
                <w:spacing w:val="7"/>
                <w:sz w:val="23"/>
                <w:szCs w:val="23"/>
              </w:rPr>
              <w:t>数据与</w:t>
            </w:r>
            <w:r>
              <w:rPr>
                <w:rFonts w:ascii="FangSong_GB2312" w:hAnsi="FangSong_GB2312" w:eastAsia="FangSong_GB2312" w:cs="FangSong_GB2312"/>
                <w:sz w:val="23"/>
                <w:szCs w:val="23"/>
              </w:rPr>
              <w:t xml:space="preserve"> </w:t>
            </w:r>
            <w:r>
              <w:rPr>
                <w:rFonts w:ascii="FangSong_GB2312" w:hAnsi="FangSong_GB2312" w:eastAsia="FangSong_GB2312" w:cs="FangSong_GB2312"/>
                <w:spacing w:val="7"/>
                <w:sz w:val="23"/>
                <w:szCs w:val="23"/>
              </w:rPr>
              <w:t>现场抽查相</w:t>
            </w:r>
            <w:r>
              <w:rPr>
                <w:rFonts w:ascii="FangSong_GB2312" w:hAnsi="FangSong_GB2312" w:eastAsia="FangSong_GB2312" w:cs="FangSong_GB2312"/>
                <w:spacing w:val="1"/>
                <w:sz w:val="23"/>
                <w:szCs w:val="23"/>
              </w:rPr>
              <w:t xml:space="preserve">  </w:t>
            </w:r>
            <w:r>
              <w:rPr>
                <w:rFonts w:ascii="FangSong_GB2312" w:hAnsi="FangSong_GB2312" w:eastAsia="FangSong_GB2312" w:cs="FangSong_GB2312"/>
                <w:spacing w:val="7"/>
                <w:sz w:val="23"/>
                <w:szCs w:val="23"/>
              </w:rPr>
              <w:t>结合进行评</w:t>
            </w:r>
            <w:r>
              <w:rPr>
                <w:rFonts w:ascii="FangSong_GB2312" w:hAnsi="FangSong_GB2312" w:eastAsia="FangSong_GB2312" w:cs="FangSong_GB2312"/>
                <w:spacing w:val="1"/>
                <w:sz w:val="23"/>
                <w:szCs w:val="23"/>
              </w:rPr>
              <w:t xml:space="preserve">  </w:t>
            </w:r>
            <w:r>
              <w:rPr>
                <w:rFonts w:ascii="FangSong_GB2312" w:hAnsi="FangSong_GB2312" w:eastAsia="FangSong_GB2312" w:cs="FangSong_GB2312"/>
                <w:spacing w:val="-12"/>
                <w:sz w:val="23"/>
                <w:szCs w:val="23"/>
              </w:rPr>
              <w:t>分。</w:t>
            </w:r>
          </w:p>
        </w:tc>
        <w:tc>
          <w:tcPr>
            <w:tcW w:w="1691" w:type="dxa"/>
            <w:noWrap w:val="0"/>
            <w:vAlign w:val="top"/>
          </w:tcPr>
          <w:p w14:paraId="4F495030">
            <w:pPr>
              <w:rPr>
                <w:rFonts w:ascii="Arial"/>
                <w:sz w:val="21"/>
              </w:rPr>
            </w:pPr>
          </w:p>
        </w:tc>
        <w:tc>
          <w:tcPr>
            <w:tcW w:w="603" w:type="dxa"/>
            <w:noWrap w:val="0"/>
            <w:vAlign w:val="top"/>
          </w:tcPr>
          <w:p w14:paraId="4468B632">
            <w:pPr>
              <w:rPr>
                <w:rFonts w:ascii="Arial"/>
                <w:sz w:val="21"/>
              </w:rPr>
            </w:pPr>
          </w:p>
        </w:tc>
      </w:tr>
      <w:tr w14:paraId="583AF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461" w:type="dxa"/>
            <w:noWrap w:val="0"/>
            <w:vAlign w:val="top"/>
          </w:tcPr>
          <w:p w14:paraId="00342564">
            <w:pPr>
              <w:spacing w:line="288" w:lineRule="auto"/>
              <w:rPr>
                <w:rFonts w:ascii="Arial"/>
                <w:sz w:val="21"/>
              </w:rPr>
            </w:pPr>
          </w:p>
          <w:p w14:paraId="306780EF">
            <w:pPr>
              <w:spacing w:line="288" w:lineRule="auto"/>
              <w:rPr>
                <w:rFonts w:ascii="Arial"/>
                <w:sz w:val="21"/>
              </w:rPr>
            </w:pPr>
          </w:p>
          <w:p w14:paraId="595DFB3A">
            <w:pPr>
              <w:pStyle w:val="21"/>
              <w:spacing w:before="66" w:line="191" w:lineRule="auto"/>
              <w:ind w:left="179"/>
              <w:rPr>
                <w:sz w:val="23"/>
                <w:szCs w:val="23"/>
              </w:rPr>
            </w:pPr>
            <w:r>
              <w:rPr>
                <w:sz w:val="23"/>
                <w:szCs w:val="23"/>
              </w:rPr>
              <w:t>5</w:t>
            </w:r>
          </w:p>
        </w:tc>
        <w:tc>
          <w:tcPr>
            <w:tcW w:w="1207" w:type="dxa"/>
            <w:vMerge w:val="continue"/>
            <w:tcBorders>
              <w:top w:val="nil"/>
            </w:tcBorders>
            <w:noWrap w:val="0"/>
            <w:vAlign w:val="top"/>
          </w:tcPr>
          <w:p w14:paraId="19F36F89">
            <w:pPr>
              <w:rPr>
                <w:rFonts w:ascii="Arial"/>
                <w:sz w:val="21"/>
              </w:rPr>
            </w:pPr>
          </w:p>
        </w:tc>
        <w:tc>
          <w:tcPr>
            <w:tcW w:w="1268" w:type="dxa"/>
            <w:noWrap w:val="0"/>
            <w:vAlign w:val="top"/>
          </w:tcPr>
          <w:p w14:paraId="347A3621">
            <w:pPr>
              <w:spacing w:line="375" w:lineRule="auto"/>
              <w:rPr>
                <w:rFonts w:ascii="Arial"/>
                <w:sz w:val="21"/>
              </w:rPr>
            </w:pPr>
          </w:p>
          <w:p w14:paraId="40B02A41">
            <w:pPr>
              <w:spacing w:before="74" w:line="232" w:lineRule="auto"/>
              <w:ind w:left="158" w:right="154" w:firstLine="1"/>
              <w:rPr>
                <w:rFonts w:ascii="FangSong_GB2312" w:hAnsi="FangSong_GB2312" w:eastAsia="FangSong_GB2312" w:cs="FangSong_GB2312"/>
                <w:sz w:val="23"/>
                <w:szCs w:val="23"/>
              </w:rPr>
            </w:pPr>
            <w:r>
              <w:rPr>
                <w:rFonts w:ascii="FangSong_GB2312" w:hAnsi="FangSong_GB2312" w:eastAsia="FangSong_GB2312" w:cs="FangSong_GB2312"/>
                <w:spacing w:val="7"/>
                <w:sz w:val="23"/>
                <w:szCs w:val="23"/>
              </w:rPr>
              <w:t>农技助力</w:t>
            </w:r>
            <w:r>
              <w:rPr>
                <w:rFonts w:ascii="FangSong_GB2312" w:hAnsi="FangSong_GB2312" w:eastAsia="FangSong_GB2312" w:cs="FangSong_GB2312"/>
                <w:sz w:val="23"/>
                <w:szCs w:val="23"/>
              </w:rPr>
              <w:t xml:space="preserve"> </w:t>
            </w:r>
            <w:r>
              <w:rPr>
                <w:rFonts w:ascii="FangSong_GB2312" w:hAnsi="FangSong_GB2312" w:eastAsia="FangSong_GB2312" w:cs="FangSong_GB2312"/>
                <w:spacing w:val="7"/>
                <w:sz w:val="23"/>
                <w:szCs w:val="23"/>
              </w:rPr>
              <w:t>产业扶贫</w:t>
            </w:r>
          </w:p>
        </w:tc>
        <w:tc>
          <w:tcPr>
            <w:tcW w:w="576" w:type="dxa"/>
            <w:noWrap w:val="0"/>
            <w:vAlign w:val="top"/>
          </w:tcPr>
          <w:p w14:paraId="6B60CDBB">
            <w:pPr>
              <w:spacing w:line="286" w:lineRule="auto"/>
              <w:rPr>
                <w:rFonts w:ascii="Arial"/>
                <w:sz w:val="21"/>
              </w:rPr>
            </w:pPr>
          </w:p>
          <w:p w14:paraId="6D5FAAC0">
            <w:pPr>
              <w:spacing w:line="287" w:lineRule="auto"/>
              <w:rPr>
                <w:rFonts w:ascii="Arial"/>
                <w:sz w:val="21"/>
              </w:rPr>
            </w:pPr>
          </w:p>
          <w:p w14:paraId="37AA77CC">
            <w:pPr>
              <w:pStyle w:val="21"/>
              <w:spacing w:before="66" w:line="194" w:lineRule="auto"/>
              <w:ind w:left="167"/>
              <w:rPr>
                <w:sz w:val="23"/>
                <w:szCs w:val="23"/>
              </w:rPr>
            </w:pPr>
            <w:r>
              <w:rPr>
                <w:spacing w:val="1"/>
                <w:sz w:val="23"/>
                <w:szCs w:val="23"/>
              </w:rPr>
              <w:t>20</w:t>
            </w:r>
          </w:p>
        </w:tc>
        <w:tc>
          <w:tcPr>
            <w:tcW w:w="6848" w:type="dxa"/>
            <w:noWrap w:val="0"/>
            <w:vAlign w:val="top"/>
          </w:tcPr>
          <w:p w14:paraId="7BF89DA6">
            <w:pPr>
              <w:pStyle w:val="21"/>
              <w:spacing w:before="153" w:line="231" w:lineRule="auto"/>
              <w:ind w:left="114" w:right="104" w:firstLine="15"/>
              <w:rPr>
                <w:rFonts w:ascii="FangSong_GB2312" w:hAnsi="FangSong_GB2312" w:eastAsia="FangSong_GB2312" w:cs="FangSong_GB2312"/>
                <w:sz w:val="23"/>
                <w:szCs w:val="23"/>
              </w:rPr>
            </w:pPr>
            <w:r>
              <w:rPr>
                <w:spacing w:val="4"/>
                <w:sz w:val="23"/>
                <w:szCs w:val="23"/>
              </w:rPr>
              <w:t>1</w:t>
            </w:r>
            <w:r>
              <w:rPr>
                <w:rFonts w:ascii="FangSong_GB2312" w:hAnsi="FangSong_GB2312" w:eastAsia="FangSong_GB2312" w:cs="FangSong_GB2312"/>
                <w:spacing w:val="4"/>
                <w:sz w:val="23"/>
                <w:szCs w:val="23"/>
              </w:rPr>
              <w:t>、农技推广服务特聘计划实施情况</w:t>
            </w:r>
            <w:r>
              <w:rPr>
                <w:rFonts w:ascii="FangSong_GB2312" w:hAnsi="FangSong_GB2312" w:eastAsia="FangSong_GB2312" w:cs="FangSong_GB2312"/>
                <w:spacing w:val="-23"/>
                <w:sz w:val="23"/>
                <w:szCs w:val="23"/>
              </w:rPr>
              <w:t xml:space="preserve"> </w:t>
            </w:r>
            <w:r>
              <w:rPr>
                <w:spacing w:val="4"/>
                <w:sz w:val="23"/>
                <w:szCs w:val="23"/>
              </w:rPr>
              <w:t>10</w:t>
            </w:r>
            <w:r>
              <w:rPr>
                <w:spacing w:val="16"/>
                <w:sz w:val="23"/>
                <w:szCs w:val="23"/>
              </w:rPr>
              <w:t xml:space="preserve"> </w:t>
            </w:r>
            <w:r>
              <w:rPr>
                <w:rFonts w:ascii="FangSong_GB2312" w:hAnsi="FangSong_GB2312" w:eastAsia="FangSong_GB2312" w:cs="FangSong_GB2312"/>
                <w:spacing w:val="4"/>
                <w:sz w:val="23"/>
                <w:szCs w:val="23"/>
              </w:rPr>
              <w:t>分（全区已经全部安排此</w:t>
            </w:r>
            <w:r>
              <w:rPr>
                <w:rFonts w:ascii="FangSong_GB2312" w:hAnsi="FangSong_GB2312" w:eastAsia="FangSong_GB2312" w:cs="FangSong_GB2312"/>
                <w:sz w:val="23"/>
                <w:szCs w:val="23"/>
              </w:rPr>
              <w:t xml:space="preserve"> </w:t>
            </w:r>
            <w:r>
              <w:rPr>
                <w:rFonts w:ascii="FangSong_GB2312" w:hAnsi="FangSong_GB2312" w:eastAsia="FangSong_GB2312" w:cs="FangSong_GB2312"/>
                <w:spacing w:val="4"/>
                <w:sz w:val="23"/>
                <w:szCs w:val="23"/>
              </w:rPr>
              <w:t>项任务</w:t>
            </w:r>
            <w:r>
              <w:rPr>
                <w:rFonts w:ascii="FangSong_GB2312" w:hAnsi="FangSong_GB2312" w:eastAsia="FangSong_GB2312" w:cs="FangSong_GB2312"/>
                <w:spacing w:val="-49"/>
                <w:sz w:val="23"/>
                <w:szCs w:val="23"/>
              </w:rPr>
              <w:t>），</w:t>
            </w:r>
            <w:r>
              <w:rPr>
                <w:rFonts w:ascii="FangSong_GB2312" w:hAnsi="FangSong_GB2312" w:eastAsia="FangSong_GB2312" w:cs="FangSong_GB2312"/>
                <w:spacing w:val="4"/>
                <w:sz w:val="23"/>
                <w:szCs w:val="23"/>
              </w:rPr>
              <w:t>综合考虑实际情况打分；</w:t>
            </w:r>
          </w:p>
          <w:p w14:paraId="01B30D94">
            <w:pPr>
              <w:pStyle w:val="21"/>
              <w:spacing w:before="24" w:line="231" w:lineRule="auto"/>
              <w:ind w:left="114" w:right="102" w:hanging="7"/>
              <w:rPr>
                <w:rFonts w:ascii="FangSong_GB2312" w:hAnsi="FangSong_GB2312" w:eastAsia="FangSong_GB2312" w:cs="FangSong_GB2312"/>
                <w:sz w:val="23"/>
                <w:szCs w:val="23"/>
              </w:rPr>
            </w:pPr>
            <w:r>
              <w:rPr>
                <w:spacing w:val="5"/>
                <w:sz w:val="23"/>
                <w:szCs w:val="23"/>
              </w:rPr>
              <w:t>2</w:t>
            </w:r>
            <w:r>
              <w:rPr>
                <w:rFonts w:ascii="FangSong_GB2312" w:hAnsi="FangSong_GB2312" w:eastAsia="FangSong_GB2312" w:cs="FangSong_GB2312"/>
                <w:spacing w:val="5"/>
                <w:sz w:val="23"/>
                <w:szCs w:val="23"/>
              </w:rPr>
              <w:t>、农技人员服务脱贫村情况</w:t>
            </w:r>
            <w:r>
              <w:rPr>
                <w:rFonts w:ascii="FangSong_GB2312" w:hAnsi="FangSong_GB2312" w:eastAsia="FangSong_GB2312" w:cs="FangSong_GB2312"/>
                <w:spacing w:val="-16"/>
                <w:sz w:val="23"/>
                <w:szCs w:val="23"/>
              </w:rPr>
              <w:t xml:space="preserve"> </w:t>
            </w:r>
            <w:r>
              <w:rPr>
                <w:spacing w:val="5"/>
                <w:sz w:val="23"/>
                <w:szCs w:val="23"/>
              </w:rPr>
              <w:t xml:space="preserve">10 </w:t>
            </w:r>
            <w:r>
              <w:rPr>
                <w:rFonts w:ascii="FangSong_GB2312" w:hAnsi="FangSong_GB2312" w:eastAsia="FangSong_GB2312" w:cs="FangSong_GB2312"/>
                <w:spacing w:val="5"/>
                <w:sz w:val="23"/>
                <w:szCs w:val="23"/>
              </w:rPr>
              <w:t>分，综合考虑实际情况打分（农</w:t>
            </w:r>
            <w:r>
              <w:rPr>
                <w:rFonts w:ascii="FangSong_GB2312" w:hAnsi="FangSong_GB2312" w:eastAsia="FangSong_GB2312" w:cs="FangSong_GB2312"/>
                <w:sz w:val="23"/>
                <w:szCs w:val="23"/>
              </w:rPr>
              <w:t xml:space="preserve"> </w:t>
            </w:r>
            <w:r>
              <w:rPr>
                <w:rFonts w:ascii="FangSong_GB2312" w:hAnsi="FangSong_GB2312" w:eastAsia="FangSong_GB2312" w:cs="FangSong_GB2312"/>
                <w:spacing w:val="9"/>
                <w:sz w:val="23"/>
                <w:szCs w:val="23"/>
              </w:rPr>
              <w:t>技人员指属基层全部农技人员包含特聘）</w:t>
            </w:r>
          </w:p>
        </w:tc>
        <w:tc>
          <w:tcPr>
            <w:tcW w:w="1569" w:type="dxa"/>
            <w:vMerge w:val="continue"/>
            <w:tcBorders>
              <w:top w:val="nil"/>
              <w:bottom w:val="nil"/>
            </w:tcBorders>
            <w:noWrap w:val="0"/>
            <w:vAlign w:val="top"/>
          </w:tcPr>
          <w:p w14:paraId="24FBA013">
            <w:pPr>
              <w:rPr>
                <w:rFonts w:ascii="Arial"/>
                <w:sz w:val="21"/>
              </w:rPr>
            </w:pPr>
          </w:p>
        </w:tc>
        <w:tc>
          <w:tcPr>
            <w:tcW w:w="1691" w:type="dxa"/>
            <w:noWrap w:val="0"/>
            <w:vAlign w:val="top"/>
          </w:tcPr>
          <w:p w14:paraId="0535B7FE">
            <w:pPr>
              <w:rPr>
                <w:rFonts w:ascii="Arial"/>
                <w:sz w:val="21"/>
              </w:rPr>
            </w:pPr>
          </w:p>
        </w:tc>
        <w:tc>
          <w:tcPr>
            <w:tcW w:w="603" w:type="dxa"/>
            <w:noWrap w:val="0"/>
            <w:vAlign w:val="top"/>
          </w:tcPr>
          <w:p w14:paraId="0E7DA3E2">
            <w:pPr>
              <w:rPr>
                <w:rFonts w:ascii="Arial"/>
                <w:sz w:val="21"/>
              </w:rPr>
            </w:pPr>
          </w:p>
        </w:tc>
      </w:tr>
      <w:tr w14:paraId="051B6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7" w:hRule="atLeast"/>
        </w:trPr>
        <w:tc>
          <w:tcPr>
            <w:tcW w:w="461" w:type="dxa"/>
            <w:noWrap w:val="0"/>
            <w:vAlign w:val="top"/>
          </w:tcPr>
          <w:p w14:paraId="4BFF3D4F">
            <w:pPr>
              <w:spacing w:line="385" w:lineRule="auto"/>
              <w:rPr>
                <w:rFonts w:ascii="Arial"/>
                <w:sz w:val="21"/>
              </w:rPr>
            </w:pPr>
          </w:p>
          <w:p w14:paraId="5F5BC183">
            <w:pPr>
              <w:pStyle w:val="21"/>
              <w:spacing w:before="67" w:line="194" w:lineRule="auto"/>
              <w:ind w:left="178"/>
              <w:rPr>
                <w:sz w:val="23"/>
                <w:szCs w:val="23"/>
              </w:rPr>
            </w:pPr>
            <w:r>
              <w:rPr>
                <w:sz w:val="23"/>
                <w:szCs w:val="23"/>
              </w:rPr>
              <w:t>6</w:t>
            </w:r>
          </w:p>
        </w:tc>
        <w:tc>
          <w:tcPr>
            <w:tcW w:w="1207" w:type="dxa"/>
            <w:noWrap w:val="0"/>
            <w:vAlign w:val="top"/>
          </w:tcPr>
          <w:p w14:paraId="499AC7C9">
            <w:pPr>
              <w:pStyle w:val="21"/>
              <w:spacing w:before="264" w:line="233" w:lineRule="auto"/>
              <w:ind w:left="108" w:right="83" w:firstLine="31"/>
              <w:rPr>
                <w:rFonts w:ascii="FangSong_GB2312" w:hAnsi="FangSong_GB2312" w:eastAsia="FangSong_GB2312" w:cs="FangSong_GB2312"/>
                <w:sz w:val="23"/>
                <w:szCs w:val="23"/>
              </w:rPr>
            </w:pPr>
            <w:r>
              <w:rPr>
                <w:rFonts w:ascii="FangSong_GB2312" w:hAnsi="FangSong_GB2312" w:eastAsia="FangSong_GB2312" w:cs="FangSong_GB2312"/>
                <w:spacing w:val="4"/>
                <w:sz w:val="23"/>
                <w:szCs w:val="23"/>
              </w:rPr>
              <w:t>实施效果</w:t>
            </w:r>
            <w:r>
              <w:rPr>
                <w:rFonts w:ascii="FangSong_GB2312" w:hAnsi="FangSong_GB2312" w:eastAsia="FangSong_GB2312" w:cs="FangSong_GB2312"/>
                <w:spacing w:val="1"/>
                <w:sz w:val="23"/>
                <w:szCs w:val="23"/>
              </w:rPr>
              <w:t xml:space="preserve"> </w:t>
            </w:r>
            <w:r>
              <w:rPr>
                <w:rFonts w:hint="eastAsia" w:ascii="FangSong_GB2312" w:hAnsi="FangSong_GB2312" w:eastAsia="FangSong_GB2312" w:cs="FangSong_GB2312"/>
                <w:spacing w:val="1"/>
                <w:sz w:val="23"/>
                <w:szCs w:val="23"/>
                <w:lang w:eastAsia="zh-CN"/>
              </w:rPr>
              <w:t>（</w:t>
            </w:r>
            <w:r>
              <w:rPr>
                <w:rFonts w:hint="eastAsia" w:ascii="Times New Roman" w:hAnsi="Times New Roman" w:eastAsia="Times New Roman" w:cs="Times New Roman"/>
                <w:spacing w:val="3"/>
                <w:sz w:val="23"/>
                <w:szCs w:val="23"/>
                <w:lang w:val="en-US" w:eastAsia="zh-CN"/>
              </w:rPr>
              <w:t>10</w:t>
            </w:r>
            <w:r>
              <w:rPr>
                <w:rFonts w:hint="eastAsia" w:ascii="FangSong_GB2312" w:hAnsi="FangSong_GB2312" w:eastAsia="FangSong_GB2312" w:cs="FangSong_GB2312"/>
                <w:spacing w:val="1"/>
                <w:sz w:val="23"/>
                <w:szCs w:val="23"/>
                <w:lang w:val="en-US" w:eastAsia="zh-CN"/>
              </w:rPr>
              <w:t>分</w:t>
            </w:r>
            <w:r>
              <w:rPr>
                <w:rFonts w:hint="eastAsia" w:ascii="FangSong_GB2312" w:hAnsi="FangSong_GB2312" w:eastAsia="FangSong_GB2312" w:cs="FangSong_GB2312"/>
                <w:spacing w:val="1"/>
                <w:sz w:val="23"/>
                <w:szCs w:val="23"/>
                <w:lang w:eastAsia="zh-CN"/>
              </w:rPr>
              <w:t>）</w:t>
            </w:r>
          </w:p>
        </w:tc>
        <w:tc>
          <w:tcPr>
            <w:tcW w:w="1268" w:type="dxa"/>
            <w:noWrap w:val="0"/>
            <w:vAlign w:val="top"/>
          </w:tcPr>
          <w:p w14:paraId="0DD0C3CF">
            <w:pPr>
              <w:spacing w:before="264" w:line="233" w:lineRule="auto"/>
              <w:ind w:left="398" w:right="154" w:hanging="237"/>
              <w:rPr>
                <w:rFonts w:ascii="FangSong_GB2312" w:hAnsi="FangSong_GB2312" w:eastAsia="FangSong_GB2312" w:cs="FangSong_GB2312"/>
                <w:sz w:val="23"/>
                <w:szCs w:val="23"/>
              </w:rPr>
            </w:pPr>
            <w:r>
              <w:rPr>
                <w:rFonts w:ascii="FangSong_GB2312" w:hAnsi="FangSong_GB2312" w:eastAsia="FangSong_GB2312" w:cs="FangSong_GB2312"/>
                <w:spacing w:val="6"/>
                <w:sz w:val="23"/>
                <w:szCs w:val="23"/>
              </w:rPr>
              <w:t>服务对象</w:t>
            </w:r>
            <w:r>
              <w:rPr>
                <w:rFonts w:ascii="FangSong_GB2312" w:hAnsi="FangSong_GB2312" w:eastAsia="FangSong_GB2312" w:cs="FangSong_GB2312"/>
                <w:spacing w:val="2"/>
                <w:sz w:val="23"/>
                <w:szCs w:val="23"/>
              </w:rPr>
              <w:t xml:space="preserve"> </w:t>
            </w:r>
            <w:r>
              <w:rPr>
                <w:rFonts w:ascii="FangSong_GB2312" w:hAnsi="FangSong_GB2312" w:eastAsia="FangSong_GB2312" w:cs="FangSong_GB2312"/>
                <w:spacing w:val="5"/>
                <w:sz w:val="23"/>
                <w:szCs w:val="23"/>
              </w:rPr>
              <w:t>评价</w:t>
            </w:r>
          </w:p>
        </w:tc>
        <w:tc>
          <w:tcPr>
            <w:tcW w:w="576" w:type="dxa"/>
            <w:noWrap w:val="0"/>
            <w:vAlign w:val="top"/>
          </w:tcPr>
          <w:p w14:paraId="4031B7AA">
            <w:pPr>
              <w:spacing w:line="385" w:lineRule="auto"/>
              <w:rPr>
                <w:rFonts w:ascii="Arial"/>
                <w:sz w:val="21"/>
              </w:rPr>
            </w:pPr>
          </w:p>
          <w:p w14:paraId="54F31FEA">
            <w:pPr>
              <w:pStyle w:val="21"/>
              <w:spacing w:before="67" w:line="194" w:lineRule="auto"/>
              <w:ind w:left="190"/>
              <w:rPr>
                <w:sz w:val="23"/>
                <w:szCs w:val="23"/>
              </w:rPr>
            </w:pPr>
            <w:r>
              <w:rPr>
                <w:spacing w:val="-11"/>
                <w:sz w:val="23"/>
                <w:szCs w:val="23"/>
              </w:rPr>
              <w:t>10</w:t>
            </w:r>
          </w:p>
        </w:tc>
        <w:tc>
          <w:tcPr>
            <w:tcW w:w="6848" w:type="dxa"/>
            <w:noWrap w:val="0"/>
            <w:vAlign w:val="top"/>
          </w:tcPr>
          <w:p w14:paraId="381CB35B">
            <w:pPr>
              <w:pStyle w:val="21"/>
              <w:spacing w:before="263" w:line="222" w:lineRule="auto"/>
              <w:jc w:val="right"/>
              <w:rPr>
                <w:rFonts w:ascii="FangSong_GB2312" w:hAnsi="FangSong_GB2312" w:eastAsia="FangSong_GB2312" w:cs="FangSong_GB2312"/>
                <w:sz w:val="23"/>
                <w:szCs w:val="23"/>
              </w:rPr>
            </w:pPr>
            <w:r>
              <w:rPr>
                <w:spacing w:val="3"/>
                <w:sz w:val="23"/>
                <w:szCs w:val="23"/>
              </w:rPr>
              <w:t>1</w:t>
            </w:r>
            <w:r>
              <w:rPr>
                <w:rFonts w:ascii="FangSong_GB2312" w:hAnsi="FangSong_GB2312" w:eastAsia="FangSong_GB2312" w:cs="FangSong_GB2312"/>
                <w:spacing w:val="3"/>
                <w:sz w:val="23"/>
                <w:szCs w:val="23"/>
              </w:rPr>
              <w:t>、农业科技展示主体满意情况共</w:t>
            </w:r>
            <w:r>
              <w:rPr>
                <w:rFonts w:ascii="FangSong_GB2312" w:hAnsi="FangSong_GB2312" w:eastAsia="FangSong_GB2312" w:cs="FangSong_GB2312"/>
                <w:spacing w:val="-44"/>
                <w:sz w:val="23"/>
                <w:szCs w:val="23"/>
              </w:rPr>
              <w:t xml:space="preserve"> </w:t>
            </w:r>
            <w:r>
              <w:rPr>
                <w:spacing w:val="3"/>
                <w:sz w:val="23"/>
                <w:szCs w:val="23"/>
              </w:rPr>
              <w:t xml:space="preserve">3 </w:t>
            </w:r>
            <w:r>
              <w:rPr>
                <w:rFonts w:ascii="FangSong_GB2312" w:hAnsi="FangSong_GB2312" w:eastAsia="FangSong_GB2312" w:cs="FangSong_GB2312"/>
                <w:spacing w:val="3"/>
                <w:sz w:val="23"/>
                <w:szCs w:val="23"/>
              </w:rPr>
              <w:t>分，综合考虑实际情况打分；</w:t>
            </w:r>
          </w:p>
          <w:p w14:paraId="44966C8E">
            <w:pPr>
              <w:pStyle w:val="21"/>
              <w:spacing w:before="21" w:line="223" w:lineRule="auto"/>
              <w:jc w:val="right"/>
              <w:rPr>
                <w:rFonts w:ascii="FangSong_GB2312" w:hAnsi="FangSong_GB2312" w:eastAsia="FangSong_GB2312" w:cs="FangSong_GB2312"/>
                <w:sz w:val="23"/>
                <w:szCs w:val="23"/>
              </w:rPr>
            </w:pPr>
            <w:r>
              <w:rPr>
                <w:spacing w:val="4"/>
                <w:sz w:val="23"/>
                <w:szCs w:val="23"/>
              </w:rPr>
              <w:t>2</w:t>
            </w:r>
            <w:r>
              <w:rPr>
                <w:rFonts w:ascii="FangSong_GB2312" w:hAnsi="FangSong_GB2312" w:eastAsia="FangSong_GB2312" w:cs="FangSong_GB2312"/>
                <w:spacing w:val="4"/>
                <w:sz w:val="23"/>
                <w:szCs w:val="23"/>
              </w:rPr>
              <w:t>、农技推广服务对象满意情况共</w:t>
            </w:r>
            <w:r>
              <w:rPr>
                <w:rFonts w:ascii="FangSong_GB2312" w:hAnsi="FangSong_GB2312" w:eastAsia="FangSong_GB2312" w:cs="FangSong_GB2312"/>
                <w:spacing w:val="-37"/>
                <w:sz w:val="23"/>
                <w:szCs w:val="23"/>
              </w:rPr>
              <w:t xml:space="preserve"> </w:t>
            </w:r>
            <w:r>
              <w:rPr>
                <w:spacing w:val="4"/>
                <w:sz w:val="23"/>
                <w:szCs w:val="23"/>
              </w:rPr>
              <w:t xml:space="preserve">7 </w:t>
            </w:r>
            <w:r>
              <w:rPr>
                <w:rFonts w:ascii="FangSong_GB2312" w:hAnsi="FangSong_GB2312" w:eastAsia="FangSong_GB2312" w:cs="FangSong_GB2312"/>
                <w:spacing w:val="4"/>
                <w:sz w:val="23"/>
                <w:szCs w:val="23"/>
              </w:rPr>
              <w:t>分，综合考虑实际情况打分。</w:t>
            </w:r>
          </w:p>
        </w:tc>
        <w:tc>
          <w:tcPr>
            <w:tcW w:w="1569" w:type="dxa"/>
            <w:vMerge w:val="continue"/>
            <w:tcBorders>
              <w:top w:val="nil"/>
              <w:bottom w:val="nil"/>
            </w:tcBorders>
            <w:noWrap w:val="0"/>
            <w:vAlign w:val="top"/>
          </w:tcPr>
          <w:p w14:paraId="21AA6EDD">
            <w:pPr>
              <w:rPr>
                <w:rFonts w:ascii="Arial"/>
                <w:sz w:val="21"/>
              </w:rPr>
            </w:pPr>
          </w:p>
        </w:tc>
        <w:tc>
          <w:tcPr>
            <w:tcW w:w="1691" w:type="dxa"/>
            <w:noWrap w:val="0"/>
            <w:vAlign w:val="top"/>
          </w:tcPr>
          <w:p w14:paraId="0272912D">
            <w:pPr>
              <w:rPr>
                <w:rFonts w:ascii="Arial"/>
                <w:sz w:val="21"/>
              </w:rPr>
            </w:pPr>
          </w:p>
        </w:tc>
        <w:tc>
          <w:tcPr>
            <w:tcW w:w="603" w:type="dxa"/>
            <w:noWrap w:val="0"/>
            <w:vAlign w:val="top"/>
          </w:tcPr>
          <w:p w14:paraId="4553194F">
            <w:pPr>
              <w:rPr>
                <w:rFonts w:ascii="Arial"/>
                <w:sz w:val="21"/>
              </w:rPr>
            </w:pPr>
          </w:p>
        </w:tc>
      </w:tr>
      <w:tr w14:paraId="62DE4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461" w:type="dxa"/>
            <w:noWrap w:val="0"/>
            <w:vAlign w:val="top"/>
          </w:tcPr>
          <w:p w14:paraId="289D90BA">
            <w:pPr>
              <w:spacing w:line="426" w:lineRule="auto"/>
              <w:rPr>
                <w:rFonts w:ascii="Arial"/>
                <w:sz w:val="21"/>
              </w:rPr>
            </w:pPr>
          </w:p>
          <w:p w14:paraId="265FA651">
            <w:pPr>
              <w:pStyle w:val="21"/>
              <w:spacing w:before="66" w:line="191" w:lineRule="auto"/>
              <w:ind w:left="177"/>
              <w:rPr>
                <w:sz w:val="23"/>
                <w:szCs w:val="23"/>
              </w:rPr>
            </w:pPr>
            <w:r>
              <w:rPr>
                <w:sz w:val="23"/>
                <w:szCs w:val="23"/>
              </w:rPr>
              <w:t>7</w:t>
            </w:r>
          </w:p>
        </w:tc>
        <w:tc>
          <w:tcPr>
            <w:tcW w:w="1207" w:type="dxa"/>
            <w:noWrap w:val="0"/>
            <w:vAlign w:val="top"/>
          </w:tcPr>
          <w:p w14:paraId="3D31CA68">
            <w:pPr>
              <w:pStyle w:val="21"/>
              <w:spacing w:before="301" w:line="233" w:lineRule="auto"/>
              <w:ind w:left="108" w:right="83" w:firstLine="63"/>
              <w:rPr>
                <w:rFonts w:ascii="FangSong_GB2312" w:hAnsi="FangSong_GB2312" w:eastAsia="FangSong_GB2312" w:cs="FangSong_GB2312"/>
                <w:sz w:val="23"/>
                <w:szCs w:val="23"/>
              </w:rPr>
            </w:pPr>
            <w:r>
              <w:rPr>
                <w:rFonts w:ascii="FangSong_GB2312" w:hAnsi="FangSong_GB2312" w:eastAsia="FangSong_GB2312" w:cs="FangSong_GB2312"/>
                <w:spacing w:val="-4"/>
                <w:sz w:val="23"/>
                <w:szCs w:val="23"/>
              </w:rPr>
              <w:t>日常管理</w:t>
            </w:r>
            <w:r>
              <w:rPr>
                <w:rFonts w:ascii="FangSong_GB2312" w:hAnsi="FangSong_GB2312" w:eastAsia="FangSong_GB2312" w:cs="FangSong_GB2312"/>
                <w:sz w:val="23"/>
                <w:szCs w:val="23"/>
              </w:rPr>
              <w:t xml:space="preserve"> </w:t>
            </w:r>
            <w:r>
              <w:rPr>
                <w:rFonts w:hint="eastAsia" w:ascii="FangSong_GB2312" w:hAnsi="FangSong_GB2312" w:eastAsia="FangSong_GB2312" w:cs="FangSong_GB2312"/>
                <w:sz w:val="23"/>
                <w:szCs w:val="23"/>
                <w:lang w:eastAsia="zh-CN"/>
              </w:rPr>
              <w:t>（</w:t>
            </w:r>
            <w:r>
              <w:rPr>
                <w:rFonts w:hint="eastAsia" w:ascii="Times New Roman" w:hAnsi="Times New Roman" w:eastAsia="Times New Roman" w:cs="Times New Roman"/>
                <w:spacing w:val="3"/>
                <w:sz w:val="23"/>
                <w:szCs w:val="23"/>
                <w:lang w:val="en-US" w:eastAsia="zh-CN"/>
              </w:rPr>
              <w:t>10</w:t>
            </w:r>
            <w:r>
              <w:rPr>
                <w:rFonts w:hint="eastAsia" w:ascii="FangSong_GB2312" w:hAnsi="FangSong_GB2312" w:eastAsia="FangSong_GB2312" w:cs="FangSong_GB2312"/>
                <w:sz w:val="23"/>
                <w:szCs w:val="23"/>
                <w:lang w:val="en-US" w:eastAsia="zh-CN"/>
              </w:rPr>
              <w:t>分</w:t>
            </w:r>
            <w:r>
              <w:rPr>
                <w:rFonts w:hint="eastAsia" w:ascii="FangSong_GB2312" w:hAnsi="FangSong_GB2312" w:eastAsia="FangSong_GB2312" w:cs="FangSong_GB2312"/>
                <w:sz w:val="23"/>
                <w:szCs w:val="23"/>
                <w:lang w:eastAsia="zh-CN"/>
              </w:rPr>
              <w:t>）</w:t>
            </w:r>
          </w:p>
        </w:tc>
        <w:tc>
          <w:tcPr>
            <w:tcW w:w="1268" w:type="dxa"/>
            <w:noWrap w:val="0"/>
            <w:vAlign w:val="top"/>
          </w:tcPr>
          <w:p w14:paraId="1E521D8F">
            <w:pPr>
              <w:spacing w:before="302" w:line="231" w:lineRule="auto"/>
              <w:ind w:left="398" w:right="154" w:hanging="195"/>
              <w:rPr>
                <w:rFonts w:ascii="FangSong_GB2312" w:hAnsi="FangSong_GB2312" w:eastAsia="FangSong_GB2312" w:cs="FangSong_GB2312"/>
                <w:sz w:val="23"/>
                <w:szCs w:val="23"/>
              </w:rPr>
            </w:pPr>
            <w:r>
              <w:rPr>
                <w:rFonts w:ascii="FangSong_GB2312" w:hAnsi="FangSong_GB2312" w:eastAsia="FangSong_GB2312" w:cs="FangSong_GB2312"/>
                <w:spacing w:val="-4"/>
                <w:sz w:val="23"/>
                <w:szCs w:val="23"/>
              </w:rPr>
              <w:t>日常组织</w:t>
            </w:r>
            <w:r>
              <w:rPr>
                <w:rFonts w:ascii="FangSong_GB2312" w:hAnsi="FangSong_GB2312" w:eastAsia="FangSong_GB2312" w:cs="FangSong_GB2312"/>
                <w:sz w:val="23"/>
                <w:szCs w:val="23"/>
              </w:rPr>
              <w:t xml:space="preserve"> </w:t>
            </w:r>
            <w:r>
              <w:rPr>
                <w:rFonts w:ascii="FangSong_GB2312" w:hAnsi="FangSong_GB2312" w:eastAsia="FangSong_GB2312" w:cs="FangSong_GB2312"/>
                <w:spacing w:val="4"/>
                <w:sz w:val="23"/>
                <w:szCs w:val="23"/>
              </w:rPr>
              <w:t>管理</w:t>
            </w:r>
          </w:p>
        </w:tc>
        <w:tc>
          <w:tcPr>
            <w:tcW w:w="576" w:type="dxa"/>
            <w:noWrap w:val="0"/>
            <w:vAlign w:val="top"/>
          </w:tcPr>
          <w:p w14:paraId="2100C974">
            <w:pPr>
              <w:spacing w:line="422" w:lineRule="auto"/>
              <w:rPr>
                <w:rFonts w:ascii="Arial"/>
                <w:sz w:val="21"/>
              </w:rPr>
            </w:pPr>
          </w:p>
          <w:p w14:paraId="1179797A">
            <w:pPr>
              <w:pStyle w:val="21"/>
              <w:spacing w:before="67" w:line="194" w:lineRule="auto"/>
              <w:ind w:left="190"/>
              <w:rPr>
                <w:sz w:val="23"/>
                <w:szCs w:val="23"/>
              </w:rPr>
            </w:pPr>
            <w:r>
              <w:rPr>
                <w:spacing w:val="-11"/>
                <w:sz w:val="23"/>
                <w:szCs w:val="23"/>
              </w:rPr>
              <w:t>10</w:t>
            </w:r>
          </w:p>
        </w:tc>
        <w:tc>
          <w:tcPr>
            <w:tcW w:w="6848" w:type="dxa"/>
            <w:noWrap w:val="0"/>
            <w:vAlign w:val="top"/>
          </w:tcPr>
          <w:p w14:paraId="040F6712">
            <w:pPr>
              <w:pStyle w:val="21"/>
              <w:spacing w:before="150" w:line="231" w:lineRule="auto"/>
              <w:ind w:left="114" w:right="104" w:firstLine="15"/>
              <w:rPr>
                <w:rFonts w:ascii="FangSong_GB2312" w:hAnsi="FangSong_GB2312" w:eastAsia="FangSong_GB2312" w:cs="FangSong_GB2312"/>
                <w:sz w:val="23"/>
                <w:szCs w:val="23"/>
              </w:rPr>
            </w:pPr>
            <w:r>
              <w:rPr>
                <w:spacing w:val="9"/>
                <w:sz w:val="23"/>
                <w:szCs w:val="23"/>
              </w:rPr>
              <w:t>1</w:t>
            </w:r>
            <w:r>
              <w:rPr>
                <w:rFonts w:ascii="FangSong_GB2312" w:hAnsi="FangSong_GB2312" w:eastAsia="FangSong_GB2312" w:cs="FangSong_GB2312"/>
                <w:spacing w:val="9"/>
                <w:sz w:val="23"/>
                <w:szCs w:val="23"/>
              </w:rPr>
              <w:t>、年内组织任务实施进展调度检查工</w:t>
            </w:r>
            <w:r>
              <w:rPr>
                <w:rFonts w:ascii="FangSong_GB2312" w:hAnsi="FangSong_GB2312" w:eastAsia="FangSong_GB2312" w:cs="FangSong_GB2312"/>
                <w:spacing w:val="-37"/>
                <w:sz w:val="23"/>
                <w:szCs w:val="23"/>
              </w:rPr>
              <w:t xml:space="preserve"> </w:t>
            </w:r>
            <w:r>
              <w:rPr>
                <w:spacing w:val="9"/>
                <w:sz w:val="23"/>
                <w:szCs w:val="23"/>
              </w:rPr>
              <w:t xml:space="preserve">5 </w:t>
            </w:r>
            <w:r>
              <w:rPr>
                <w:rFonts w:ascii="FangSong_GB2312" w:hAnsi="FangSong_GB2312" w:eastAsia="FangSong_GB2312" w:cs="FangSong_GB2312"/>
                <w:spacing w:val="9"/>
                <w:sz w:val="23"/>
                <w:szCs w:val="23"/>
              </w:rPr>
              <w:t>分，综合考虑实际情况</w:t>
            </w:r>
            <w:r>
              <w:rPr>
                <w:rFonts w:ascii="FangSong_GB2312" w:hAnsi="FangSong_GB2312" w:eastAsia="FangSong_GB2312" w:cs="FangSong_GB2312"/>
                <w:sz w:val="23"/>
                <w:szCs w:val="23"/>
              </w:rPr>
              <w:t xml:space="preserve"> </w:t>
            </w:r>
            <w:r>
              <w:rPr>
                <w:rFonts w:ascii="FangSong_GB2312" w:hAnsi="FangSong_GB2312" w:eastAsia="FangSong_GB2312" w:cs="FangSong_GB2312"/>
                <w:spacing w:val="-12"/>
                <w:sz w:val="23"/>
                <w:szCs w:val="23"/>
              </w:rPr>
              <w:t>打分；</w:t>
            </w:r>
          </w:p>
          <w:p w14:paraId="349975CB">
            <w:pPr>
              <w:pStyle w:val="21"/>
              <w:spacing w:before="23" w:line="222" w:lineRule="auto"/>
              <w:ind w:left="107"/>
              <w:rPr>
                <w:rFonts w:ascii="FangSong_GB2312" w:hAnsi="FangSong_GB2312" w:eastAsia="FangSong_GB2312" w:cs="FangSong_GB2312"/>
                <w:sz w:val="23"/>
                <w:szCs w:val="23"/>
              </w:rPr>
            </w:pPr>
            <w:r>
              <w:rPr>
                <w:spacing w:val="6"/>
                <w:sz w:val="23"/>
                <w:szCs w:val="23"/>
              </w:rPr>
              <w:t>2</w:t>
            </w:r>
            <w:r>
              <w:rPr>
                <w:rFonts w:ascii="FangSong_GB2312" w:hAnsi="FangSong_GB2312" w:eastAsia="FangSong_GB2312" w:cs="FangSong_GB2312"/>
                <w:spacing w:val="6"/>
                <w:sz w:val="23"/>
                <w:szCs w:val="23"/>
              </w:rPr>
              <w:t>、及时上报有关材料情况共</w:t>
            </w:r>
            <w:r>
              <w:rPr>
                <w:rFonts w:ascii="FangSong_GB2312" w:hAnsi="FangSong_GB2312" w:eastAsia="FangSong_GB2312" w:cs="FangSong_GB2312"/>
                <w:spacing w:val="-23"/>
                <w:sz w:val="23"/>
                <w:szCs w:val="23"/>
              </w:rPr>
              <w:t xml:space="preserve"> </w:t>
            </w:r>
            <w:r>
              <w:rPr>
                <w:spacing w:val="6"/>
                <w:sz w:val="23"/>
                <w:szCs w:val="23"/>
              </w:rPr>
              <w:t xml:space="preserve">5 </w:t>
            </w:r>
            <w:r>
              <w:rPr>
                <w:rFonts w:ascii="FangSong_GB2312" w:hAnsi="FangSong_GB2312" w:eastAsia="FangSong_GB2312" w:cs="FangSong_GB2312"/>
                <w:spacing w:val="6"/>
                <w:sz w:val="23"/>
                <w:szCs w:val="23"/>
              </w:rPr>
              <w:t>分，上报不</w:t>
            </w:r>
            <w:r>
              <w:rPr>
                <w:rFonts w:ascii="FangSong_GB2312" w:hAnsi="FangSong_GB2312" w:eastAsia="FangSong_GB2312" w:cs="FangSong_GB2312"/>
                <w:spacing w:val="5"/>
                <w:sz w:val="23"/>
                <w:szCs w:val="23"/>
              </w:rPr>
              <w:t>及时不得分。</w:t>
            </w:r>
          </w:p>
        </w:tc>
        <w:tc>
          <w:tcPr>
            <w:tcW w:w="1569" w:type="dxa"/>
            <w:vMerge w:val="continue"/>
            <w:tcBorders>
              <w:top w:val="nil"/>
            </w:tcBorders>
            <w:noWrap w:val="0"/>
            <w:vAlign w:val="top"/>
          </w:tcPr>
          <w:p w14:paraId="60106854">
            <w:pPr>
              <w:rPr>
                <w:rFonts w:ascii="Arial"/>
                <w:sz w:val="21"/>
              </w:rPr>
            </w:pPr>
          </w:p>
        </w:tc>
        <w:tc>
          <w:tcPr>
            <w:tcW w:w="1691" w:type="dxa"/>
            <w:noWrap w:val="0"/>
            <w:vAlign w:val="top"/>
          </w:tcPr>
          <w:p w14:paraId="473692E6">
            <w:pPr>
              <w:rPr>
                <w:rFonts w:ascii="Arial"/>
                <w:sz w:val="21"/>
              </w:rPr>
            </w:pPr>
          </w:p>
        </w:tc>
        <w:tc>
          <w:tcPr>
            <w:tcW w:w="603" w:type="dxa"/>
            <w:noWrap w:val="0"/>
            <w:vAlign w:val="top"/>
          </w:tcPr>
          <w:p w14:paraId="1968815A">
            <w:pPr>
              <w:rPr>
                <w:rFonts w:ascii="Arial"/>
                <w:sz w:val="21"/>
              </w:rPr>
            </w:pPr>
          </w:p>
        </w:tc>
      </w:tr>
      <w:tr w14:paraId="48FEA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2936" w:type="dxa"/>
            <w:gridSpan w:val="3"/>
            <w:noWrap w:val="0"/>
            <w:vAlign w:val="top"/>
          </w:tcPr>
          <w:p w14:paraId="3529C321">
            <w:pPr>
              <w:spacing w:before="103" w:line="224" w:lineRule="auto"/>
              <w:ind w:left="1238"/>
              <w:rPr>
                <w:rFonts w:ascii="FangSong_GB2312" w:hAnsi="FangSong_GB2312" w:eastAsia="FangSong_GB2312" w:cs="FangSong_GB2312"/>
                <w:sz w:val="23"/>
                <w:szCs w:val="23"/>
              </w:rPr>
            </w:pPr>
            <w:r>
              <w:rPr>
                <w:rFonts w:ascii="FangSong_GB2312" w:hAnsi="FangSong_GB2312" w:eastAsia="FangSong_GB2312" w:cs="FangSong_GB2312"/>
                <w:spacing w:val="3"/>
                <w:sz w:val="23"/>
                <w:szCs w:val="23"/>
              </w:rPr>
              <w:t>合计</w:t>
            </w:r>
          </w:p>
        </w:tc>
        <w:tc>
          <w:tcPr>
            <w:tcW w:w="576" w:type="dxa"/>
            <w:noWrap w:val="0"/>
            <w:vAlign w:val="top"/>
          </w:tcPr>
          <w:p w14:paraId="02876A44">
            <w:pPr>
              <w:pStyle w:val="21"/>
              <w:spacing w:before="144" w:line="194" w:lineRule="auto"/>
              <w:ind w:left="130"/>
              <w:rPr>
                <w:sz w:val="23"/>
                <w:szCs w:val="23"/>
              </w:rPr>
            </w:pPr>
            <w:r>
              <w:rPr>
                <w:spacing w:val="-6"/>
                <w:sz w:val="23"/>
                <w:szCs w:val="23"/>
              </w:rPr>
              <w:t>100</w:t>
            </w:r>
          </w:p>
        </w:tc>
        <w:tc>
          <w:tcPr>
            <w:tcW w:w="6848" w:type="dxa"/>
            <w:noWrap w:val="0"/>
            <w:vAlign w:val="top"/>
          </w:tcPr>
          <w:p w14:paraId="308EDEA6">
            <w:pPr>
              <w:rPr>
                <w:rFonts w:ascii="Arial"/>
                <w:sz w:val="21"/>
              </w:rPr>
            </w:pPr>
          </w:p>
        </w:tc>
        <w:tc>
          <w:tcPr>
            <w:tcW w:w="1569" w:type="dxa"/>
            <w:noWrap w:val="0"/>
            <w:vAlign w:val="top"/>
          </w:tcPr>
          <w:p w14:paraId="5A5BD7D2">
            <w:pPr>
              <w:rPr>
                <w:rFonts w:ascii="Arial"/>
                <w:sz w:val="21"/>
              </w:rPr>
            </w:pPr>
          </w:p>
        </w:tc>
        <w:tc>
          <w:tcPr>
            <w:tcW w:w="1691" w:type="dxa"/>
            <w:noWrap w:val="0"/>
            <w:vAlign w:val="top"/>
          </w:tcPr>
          <w:p w14:paraId="03E24780">
            <w:pPr>
              <w:rPr>
                <w:rFonts w:ascii="Arial"/>
                <w:sz w:val="21"/>
              </w:rPr>
            </w:pPr>
          </w:p>
        </w:tc>
        <w:tc>
          <w:tcPr>
            <w:tcW w:w="603" w:type="dxa"/>
            <w:noWrap w:val="0"/>
            <w:vAlign w:val="top"/>
          </w:tcPr>
          <w:p w14:paraId="41540273">
            <w:pPr>
              <w:rPr>
                <w:rFonts w:ascii="Arial"/>
                <w:sz w:val="21"/>
              </w:rPr>
            </w:pPr>
          </w:p>
        </w:tc>
      </w:tr>
    </w:tbl>
    <w:p w14:paraId="3DBC3C7C">
      <w:pPr>
        <w:spacing w:before="47" w:line="238" w:lineRule="auto"/>
        <w:ind w:left="235"/>
        <w:rPr>
          <w:lang w:val="en-US" w:eastAsia="zh-CN"/>
        </w:rPr>
      </w:pPr>
      <w:r>
        <w:rPr>
          <w:rFonts w:ascii="黑体" w:hAnsi="黑体" w:eastAsia="黑体" w:cs="黑体"/>
          <w:spacing w:val="9"/>
          <w:sz w:val="31"/>
          <w:szCs w:val="31"/>
        </w:rPr>
        <w:t>注：</w:t>
      </w:r>
      <w:r>
        <w:rPr>
          <w:rFonts w:ascii="FangSong_GB2312" w:hAnsi="FangSong_GB2312" w:eastAsia="FangSong_GB2312" w:cs="FangSong_GB2312"/>
          <w:spacing w:val="9"/>
          <w:sz w:val="22"/>
          <w:szCs w:val="22"/>
        </w:rPr>
        <w:t>农业主推技术到位率</w:t>
      </w:r>
      <w:r>
        <w:rPr>
          <w:rFonts w:ascii="Times New Roman" w:hAnsi="Times New Roman" w:eastAsia="Times New Roman" w:cs="Times New Roman"/>
          <w:spacing w:val="9"/>
          <w:sz w:val="22"/>
          <w:szCs w:val="22"/>
        </w:rPr>
        <w:t>=</w:t>
      </w:r>
      <w:r>
        <w:rPr>
          <w:rFonts w:ascii="FangSong_GB2312" w:hAnsi="FangSong_GB2312" w:eastAsia="FangSong_GB2312" w:cs="FangSong_GB2312"/>
          <w:spacing w:val="9"/>
          <w:sz w:val="22"/>
          <w:szCs w:val="22"/>
        </w:rPr>
        <w:t>完成年度农业主推技术推介任务的项目旗县区数</w:t>
      </w:r>
      <w:r>
        <w:rPr>
          <w:rFonts w:ascii="Times New Roman" w:hAnsi="Times New Roman" w:eastAsia="Times New Roman" w:cs="Times New Roman"/>
          <w:spacing w:val="9"/>
          <w:sz w:val="22"/>
          <w:szCs w:val="22"/>
        </w:rPr>
        <w:t>/</w:t>
      </w:r>
      <w:r>
        <w:rPr>
          <w:rFonts w:ascii="FangSong_GB2312" w:hAnsi="FangSong_GB2312" w:eastAsia="FangSong_GB2312" w:cs="FangSong_GB2312"/>
          <w:spacing w:val="9"/>
          <w:sz w:val="22"/>
          <w:szCs w:val="22"/>
        </w:rPr>
        <w:t>项目旗县区总数</w:t>
      </w:r>
      <w:r>
        <w:rPr>
          <w:rFonts w:ascii="Times New Roman" w:hAnsi="Times New Roman" w:eastAsia="Times New Roman" w:cs="Times New Roman"/>
          <w:spacing w:val="9"/>
          <w:sz w:val="22"/>
          <w:szCs w:val="22"/>
        </w:rPr>
        <w:t>*100%</w:t>
      </w:r>
      <w:r>
        <w:rPr>
          <w:rFonts w:ascii="FangSong_GB2312" w:hAnsi="FangSong_GB2312" w:eastAsia="FangSong_GB2312" w:cs="FangSong_GB2312"/>
          <w:spacing w:val="9"/>
          <w:sz w:val="22"/>
          <w:szCs w:val="22"/>
        </w:rPr>
        <w:t>（完成年度农业主推技术推介任务的项目旗县区应符合以下三个条件：一是正式发布年度本旗县区农业主推技术；二是依托农业科技展示场所、农业科技展示主体开展了农业</w:t>
      </w:r>
      <w:r>
        <w:rPr>
          <w:rFonts w:ascii="FangSong_GB2312" w:hAnsi="FangSong_GB2312" w:eastAsia="FangSong_GB2312" w:cs="FangSong_GB2312"/>
          <w:spacing w:val="8"/>
          <w:sz w:val="22"/>
          <w:szCs w:val="22"/>
        </w:rPr>
        <w:t xml:space="preserve"> </w:t>
      </w:r>
      <w:r>
        <w:rPr>
          <w:rFonts w:ascii="FangSong_GB2312" w:hAnsi="FangSong_GB2312" w:eastAsia="FangSong_GB2312" w:cs="FangSong_GB2312"/>
          <w:spacing w:val="9"/>
          <w:sz w:val="22"/>
          <w:szCs w:val="22"/>
        </w:rPr>
        <w:t>主推技术展示推广；三是通过印发明白纸、信息化推介、组织现场观摩等方式，对旗县区内有应用主推技术意愿的农业生产经营者提供有</w:t>
      </w:r>
      <w:r>
        <w:rPr>
          <w:rFonts w:ascii="FangSong_GB2312" w:hAnsi="FangSong_GB2312" w:eastAsia="FangSong_GB2312" w:cs="FangSong_GB2312"/>
          <w:spacing w:val="6"/>
          <w:sz w:val="22"/>
          <w:szCs w:val="22"/>
        </w:rPr>
        <w:t xml:space="preserve"> 效的指导服务。</w:t>
      </w:r>
    </w:p>
    <w:sectPr>
      <w:footerReference r:id="rId9" w:type="default"/>
      <w:pgSz w:w="16838" w:h="11906"/>
      <w:pgMar w:top="1011" w:right="1388" w:bottom="1272" w:left="1221" w:header="0"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0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A577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9AB45">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EB9AB45">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A60FE">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A3C3D">
    <w:pPr>
      <w:spacing w:line="177" w:lineRule="auto"/>
      <w:rPr>
        <w:rFonts w:ascii="宋体" w:hAnsi="宋体" w:eastAsia="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407EF">
    <w:pPr>
      <w:pStyle w:val="3"/>
      <w:spacing w:line="177"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D7237">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ODE5Nzk5OWU5M2M3NjdhNzZmYTk0MWY1YTQ5NmMifQ=="/>
  </w:docVars>
  <w:rsids>
    <w:rsidRoot w:val="00A67DFB"/>
    <w:rsid w:val="00025114"/>
    <w:rsid w:val="00025897"/>
    <w:rsid w:val="000C49DD"/>
    <w:rsid w:val="000C7170"/>
    <w:rsid w:val="000D26FB"/>
    <w:rsid w:val="000D3824"/>
    <w:rsid w:val="000F2F1A"/>
    <w:rsid w:val="00180922"/>
    <w:rsid w:val="001863E5"/>
    <w:rsid w:val="001A62E5"/>
    <w:rsid w:val="002512F0"/>
    <w:rsid w:val="002912D3"/>
    <w:rsid w:val="0030251D"/>
    <w:rsid w:val="00305D79"/>
    <w:rsid w:val="003C2A55"/>
    <w:rsid w:val="003C2D7F"/>
    <w:rsid w:val="00410032"/>
    <w:rsid w:val="004368CA"/>
    <w:rsid w:val="004E1976"/>
    <w:rsid w:val="00581A4D"/>
    <w:rsid w:val="00612B23"/>
    <w:rsid w:val="00613EF7"/>
    <w:rsid w:val="00642EE3"/>
    <w:rsid w:val="006A6F45"/>
    <w:rsid w:val="00711DB8"/>
    <w:rsid w:val="00733464"/>
    <w:rsid w:val="007516A3"/>
    <w:rsid w:val="00766703"/>
    <w:rsid w:val="007B16AF"/>
    <w:rsid w:val="0081292B"/>
    <w:rsid w:val="00870479"/>
    <w:rsid w:val="008B4D32"/>
    <w:rsid w:val="008E0C60"/>
    <w:rsid w:val="00925623"/>
    <w:rsid w:val="00A258B5"/>
    <w:rsid w:val="00A67DFB"/>
    <w:rsid w:val="00BA1537"/>
    <w:rsid w:val="00C426FE"/>
    <w:rsid w:val="00C44ACE"/>
    <w:rsid w:val="00C85E25"/>
    <w:rsid w:val="00C94F70"/>
    <w:rsid w:val="00CA335F"/>
    <w:rsid w:val="00D322CA"/>
    <w:rsid w:val="00D5148A"/>
    <w:rsid w:val="00D764CB"/>
    <w:rsid w:val="00D85189"/>
    <w:rsid w:val="00E123E9"/>
    <w:rsid w:val="00E20438"/>
    <w:rsid w:val="00E30642"/>
    <w:rsid w:val="00E45234"/>
    <w:rsid w:val="00E94FD7"/>
    <w:rsid w:val="00ED5D5C"/>
    <w:rsid w:val="00EE2402"/>
    <w:rsid w:val="00F01649"/>
    <w:rsid w:val="00F94BED"/>
    <w:rsid w:val="02650658"/>
    <w:rsid w:val="030C0776"/>
    <w:rsid w:val="035E700F"/>
    <w:rsid w:val="045126D0"/>
    <w:rsid w:val="04C66C1A"/>
    <w:rsid w:val="053A4F12"/>
    <w:rsid w:val="05C0366A"/>
    <w:rsid w:val="05E25CD6"/>
    <w:rsid w:val="06BD404D"/>
    <w:rsid w:val="07E8334B"/>
    <w:rsid w:val="07F060C0"/>
    <w:rsid w:val="08986B20"/>
    <w:rsid w:val="08E65ADD"/>
    <w:rsid w:val="090E626B"/>
    <w:rsid w:val="0922463B"/>
    <w:rsid w:val="099C263F"/>
    <w:rsid w:val="09D32083"/>
    <w:rsid w:val="0AE07BE6"/>
    <w:rsid w:val="0B324F63"/>
    <w:rsid w:val="0C601702"/>
    <w:rsid w:val="0CC778A4"/>
    <w:rsid w:val="0CEB36D1"/>
    <w:rsid w:val="0DC91529"/>
    <w:rsid w:val="0E232615"/>
    <w:rsid w:val="0E3B3A4C"/>
    <w:rsid w:val="107C065E"/>
    <w:rsid w:val="10831E63"/>
    <w:rsid w:val="10E20307"/>
    <w:rsid w:val="11205106"/>
    <w:rsid w:val="11AC0F46"/>
    <w:rsid w:val="12286A7E"/>
    <w:rsid w:val="129031AF"/>
    <w:rsid w:val="135E44C2"/>
    <w:rsid w:val="13645F7C"/>
    <w:rsid w:val="136D1FB7"/>
    <w:rsid w:val="13923D6E"/>
    <w:rsid w:val="13EB044B"/>
    <w:rsid w:val="14777F31"/>
    <w:rsid w:val="16F47617"/>
    <w:rsid w:val="172872C1"/>
    <w:rsid w:val="17487963"/>
    <w:rsid w:val="17614719"/>
    <w:rsid w:val="1776002C"/>
    <w:rsid w:val="18746AF7"/>
    <w:rsid w:val="18C01216"/>
    <w:rsid w:val="198D46D4"/>
    <w:rsid w:val="19B60BB4"/>
    <w:rsid w:val="1A5B79AD"/>
    <w:rsid w:val="1D061E52"/>
    <w:rsid w:val="1DC76601"/>
    <w:rsid w:val="1DEB1048"/>
    <w:rsid w:val="1E4200A7"/>
    <w:rsid w:val="1E5730FC"/>
    <w:rsid w:val="1EC46E37"/>
    <w:rsid w:val="1FB5190D"/>
    <w:rsid w:val="20076B62"/>
    <w:rsid w:val="20782A1F"/>
    <w:rsid w:val="209B6D55"/>
    <w:rsid w:val="218C669E"/>
    <w:rsid w:val="23D44908"/>
    <w:rsid w:val="23E11AFC"/>
    <w:rsid w:val="244E74FC"/>
    <w:rsid w:val="24D171E9"/>
    <w:rsid w:val="2515344F"/>
    <w:rsid w:val="25B34B41"/>
    <w:rsid w:val="26EF1BA9"/>
    <w:rsid w:val="286E4634"/>
    <w:rsid w:val="28A32C4B"/>
    <w:rsid w:val="299B7DC6"/>
    <w:rsid w:val="2A3F4BF5"/>
    <w:rsid w:val="2ACF7D27"/>
    <w:rsid w:val="2BAA42F0"/>
    <w:rsid w:val="2BE21CDC"/>
    <w:rsid w:val="2BEF61A7"/>
    <w:rsid w:val="2C7F577D"/>
    <w:rsid w:val="2D263E4A"/>
    <w:rsid w:val="2D986AF6"/>
    <w:rsid w:val="2F0F2B70"/>
    <w:rsid w:val="2F25260C"/>
    <w:rsid w:val="3138414C"/>
    <w:rsid w:val="31F462C5"/>
    <w:rsid w:val="32850BCC"/>
    <w:rsid w:val="335A65FC"/>
    <w:rsid w:val="3397524D"/>
    <w:rsid w:val="34441786"/>
    <w:rsid w:val="3482121F"/>
    <w:rsid w:val="36590DED"/>
    <w:rsid w:val="377C08D4"/>
    <w:rsid w:val="37CB1D6D"/>
    <w:rsid w:val="37D526F5"/>
    <w:rsid w:val="38284F1B"/>
    <w:rsid w:val="3914549F"/>
    <w:rsid w:val="39912EF4"/>
    <w:rsid w:val="3A32185F"/>
    <w:rsid w:val="3B691AD2"/>
    <w:rsid w:val="3C8D2064"/>
    <w:rsid w:val="3CFE449C"/>
    <w:rsid w:val="3D0A4BEF"/>
    <w:rsid w:val="3E6D73DD"/>
    <w:rsid w:val="3E95498C"/>
    <w:rsid w:val="3F895187"/>
    <w:rsid w:val="404C3770"/>
    <w:rsid w:val="41790595"/>
    <w:rsid w:val="41AA4BF2"/>
    <w:rsid w:val="41DA54D8"/>
    <w:rsid w:val="44213381"/>
    <w:rsid w:val="46DA1AD6"/>
    <w:rsid w:val="47BA5463"/>
    <w:rsid w:val="48981C49"/>
    <w:rsid w:val="48F47039"/>
    <w:rsid w:val="49BC1967"/>
    <w:rsid w:val="4A2D4734"/>
    <w:rsid w:val="4A8C30E7"/>
    <w:rsid w:val="4C3E0AF3"/>
    <w:rsid w:val="4CD44FFC"/>
    <w:rsid w:val="4D3F08E5"/>
    <w:rsid w:val="4E347D1E"/>
    <w:rsid w:val="4EBABDD6"/>
    <w:rsid w:val="4EC07803"/>
    <w:rsid w:val="4EF069F1"/>
    <w:rsid w:val="4F652159"/>
    <w:rsid w:val="4FB54E8E"/>
    <w:rsid w:val="50BE5FC4"/>
    <w:rsid w:val="511A6ACB"/>
    <w:rsid w:val="521E7CA3"/>
    <w:rsid w:val="5285334C"/>
    <w:rsid w:val="529E42FF"/>
    <w:rsid w:val="52F97788"/>
    <w:rsid w:val="53D1600F"/>
    <w:rsid w:val="544D3720"/>
    <w:rsid w:val="54C47921"/>
    <w:rsid w:val="562850C4"/>
    <w:rsid w:val="56B063AF"/>
    <w:rsid w:val="57174680"/>
    <w:rsid w:val="571A1A7B"/>
    <w:rsid w:val="5886571D"/>
    <w:rsid w:val="58E467E4"/>
    <w:rsid w:val="58F00CF0"/>
    <w:rsid w:val="5975743C"/>
    <w:rsid w:val="59AC7302"/>
    <w:rsid w:val="59EC3BA2"/>
    <w:rsid w:val="5A093EDD"/>
    <w:rsid w:val="5B231846"/>
    <w:rsid w:val="5B523ED9"/>
    <w:rsid w:val="5C001B87"/>
    <w:rsid w:val="5C4A4BB0"/>
    <w:rsid w:val="5D0071B6"/>
    <w:rsid w:val="5E544C7B"/>
    <w:rsid w:val="5E824AD5"/>
    <w:rsid w:val="602E0B8F"/>
    <w:rsid w:val="621444A4"/>
    <w:rsid w:val="62485EBD"/>
    <w:rsid w:val="63AB1B48"/>
    <w:rsid w:val="64512B28"/>
    <w:rsid w:val="655820EC"/>
    <w:rsid w:val="663D12E2"/>
    <w:rsid w:val="66C97765"/>
    <w:rsid w:val="67513297"/>
    <w:rsid w:val="68224C33"/>
    <w:rsid w:val="68BC54DB"/>
    <w:rsid w:val="6A301889"/>
    <w:rsid w:val="6A674B7F"/>
    <w:rsid w:val="6C4206FC"/>
    <w:rsid w:val="6C7736C6"/>
    <w:rsid w:val="6CD030D5"/>
    <w:rsid w:val="6E166FE8"/>
    <w:rsid w:val="6E7F693B"/>
    <w:rsid w:val="6EAB14DE"/>
    <w:rsid w:val="6EE3336E"/>
    <w:rsid w:val="6EED7FD9"/>
    <w:rsid w:val="72D07765"/>
    <w:rsid w:val="72E667CD"/>
    <w:rsid w:val="73F05BE5"/>
    <w:rsid w:val="73F32883"/>
    <w:rsid w:val="74065409"/>
    <w:rsid w:val="7589009F"/>
    <w:rsid w:val="76592168"/>
    <w:rsid w:val="76876CD5"/>
    <w:rsid w:val="76F87F1C"/>
    <w:rsid w:val="7718792D"/>
    <w:rsid w:val="779A47E6"/>
    <w:rsid w:val="787A5109"/>
    <w:rsid w:val="7A7B08FF"/>
    <w:rsid w:val="7AAA4D40"/>
    <w:rsid w:val="7B473155"/>
    <w:rsid w:val="7C5807CC"/>
    <w:rsid w:val="7D2C5EE0"/>
    <w:rsid w:val="7D3923AB"/>
    <w:rsid w:val="7DEB7B49"/>
    <w:rsid w:val="7FD72B39"/>
    <w:rsid w:val="9BE7F3BB"/>
    <w:rsid w:val="EBB61F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仿宋_GB2312" w:hAnsi="仿宋_GB2312" w:eastAsia="仿宋_GB2312" w:cs="黑体"/>
      <w:kern w:val="2"/>
      <w:sz w:val="32"/>
      <w:szCs w:val="24"/>
      <w:lang w:val="en-US" w:eastAsia="zh-CN" w:bidi="ar-SA"/>
    </w:rPr>
  </w:style>
  <w:style w:type="paragraph" w:styleId="2">
    <w:name w:val="heading 2"/>
    <w:basedOn w:val="1"/>
    <w:next w:val="1"/>
    <w:qFormat/>
    <w:uiPriority w:val="0"/>
    <w:pPr>
      <w:keepNext/>
      <w:keepLines/>
      <w:spacing w:line="416" w:lineRule="auto"/>
      <w:outlineLvl w:val="1"/>
    </w:pPr>
    <w:rPr>
      <w:rFonts w:ascii="Cambria" w:hAnsi="Cambria"/>
      <w:b/>
      <w:bCs/>
      <w:kern w:val="0"/>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widowControl/>
      <w:kinsoku w:val="0"/>
      <w:autoSpaceDE w:val="0"/>
      <w:autoSpaceDN w:val="0"/>
      <w:adjustRightInd w:val="0"/>
      <w:snapToGrid w:val="0"/>
      <w:spacing w:line="360" w:lineRule="auto"/>
      <w:jc w:val="left"/>
      <w:textAlignment w:val="baseline"/>
    </w:pPr>
    <w:rPr>
      <w:rFonts w:ascii="仿宋_GB2312" w:eastAsia="仿宋_GB2312" w:cs="仿宋_GB2312"/>
      <w:snapToGrid w:val="0"/>
      <w:color w:val="000000"/>
      <w:kern w:val="0"/>
      <w:sz w:val="30"/>
      <w:szCs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Title"/>
    <w:basedOn w:val="1"/>
    <w:next w:val="1"/>
    <w:qFormat/>
    <w:uiPriority w:val="0"/>
    <w:pPr>
      <w:ind w:firstLine="880" w:firstLineChars="200"/>
      <w:outlineLvl w:val="0"/>
    </w:pPr>
    <w:rPr>
      <w:rFonts w:ascii="Arial" w:hAnsi="Arial" w:eastAsia="方正仿宋简体"/>
      <w:sz w:val="32"/>
    </w:rPr>
  </w:style>
  <w:style w:type="character" w:customStyle="1" w:styleId="10">
    <w:name w:val="NormalCharacter"/>
    <w:qFormat/>
    <w:uiPriority w:val="0"/>
  </w:style>
  <w:style w:type="paragraph" w:customStyle="1" w:styleId="11">
    <w:name w:val="Char Char Char Char Char Char Char"/>
    <w:basedOn w:val="1"/>
    <w:qFormat/>
    <w:uiPriority w:val="0"/>
    <w:rPr>
      <w:szCs w:val="20"/>
    </w:rPr>
  </w:style>
  <w:style w:type="character" w:customStyle="1" w:styleId="12">
    <w:name w:val="font21"/>
    <w:basedOn w:val="9"/>
    <w:qFormat/>
    <w:uiPriority w:val="0"/>
    <w:rPr>
      <w:rFonts w:hint="eastAsia" w:ascii="黑体" w:hAnsi="宋体" w:eastAsia="黑体" w:cs="黑体"/>
      <w:color w:val="000000"/>
      <w:sz w:val="28"/>
      <w:szCs w:val="28"/>
      <w:u w:val="none"/>
    </w:rPr>
  </w:style>
  <w:style w:type="character" w:customStyle="1" w:styleId="13">
    <w:name w:val="font91"/>
    <w:basedOn w:val="9"/>
    <w:qFormat/>
    <w:uiPriority w:val="0"/>
    <w:rPr>
      <w:rFonts w:ascii="仿宋_GB2312" w:eastAsia="仿宋_GB2312" w:cs="仿宋_GB2312"/>
      <w:color w:val="000000"/>
      <w:sz w:val="28"/>
      <w:szCs w:val="28"/>
      <w:u w:val="none"/>
    </w:rPr>
  </w:style>
  <w:style w:type="character" w:customStyle="1" w:styleId="14">
    <w:name w:val="font41"/>
    <w:basedOn w:val="9"/>
    <w:qFormat/>
    <w:uiPriority w:val="0"/>
    <w:rPr>
      <w:rFonts w:hint="eastAsia" w:ascii="仿宋_GB2312" w:eastAsia="仿宋_GB2312" w:cs="仿宋_GB2312"/>
      <w:color w:val="000000"/>
      <w:sz w:val="28"/>
      <w:szCs w:val="28"/>
      <w:u w:val="single"/>
    </w:rPr>
  </w:style>
  <w:style w:type="character" w:customStyle="1" w:styleId="15">
    <w:name w:val="font01"/>
    <w:basedOn w:val="9"/>
    <w:qFormat/>
    <w:uiPriority w:val="0"/>
    <w:rPr>
      <w:rFonts w:hint="eastAsia" w:ascii="仿宋_GB2312" w:eastAsia="仿宋_GB2312" w:cs="仿宋_GB2312"/>
      <w:color w:val="000000"/>
      <w:sz w:val="28"/>
      <w:szCs w:val="28"/>
      <w:u w:val="none"/>
    </w:rPr>
  </w:style>
  <w:style w:type="character" w:customStyle="1" w:styleId="16">
    <w:name w:val="font51"/>
    <w:basedOn w:val="9"/>
    <w:qFormat/>
    <w:uiPriority w:val="0"/>
    <w:rPr>
      <w:rFonts w:hint="default" w:ascii="Times New Roman" w:hAnsi="Times New Roman" w:cs="Times New Roman"/>
      <w:color w:val="000000"/>
      <w:sz w:val="28"/>
      <w:szCs w:val="28"/>
      <w:u w:val="none"/>
    </w:rPr>
  </w:style>
  <w:style w:type="character" w:customStyle="1" w:styleId="17">
    <w:name w:val="UserStyle_2"/>
    <w:qFormat/>
    <w:uiPriority w:val="0"/>
  </w:style>
  <w:style w:type="paragraph" w:customStyle="1" w:styleId="18">
    <w:name w:val="Body text|2"/>
    <w:basedOn w:val="1"/>
    <w:qFormat/>
    <w:uiPriority w:val="0"/>
    <w:pPr>
      <w:spacing w:after="780" w:line="580" w:lineRule="exact"/>
      <w:jc w:val="center"/>
    </w:pPr>
    <w:rPr>
      <w:rFonts w:ascii="宋体" w:hAnsi="宋体" w:cs="宋体"/>
      <w:sz w:val="40"/>
      <w:szCs w:val="40"/>
      <w:lang w:val="zh-TW" w:eastAsia="zh-TW" w:bidi="zh-TW"/>
    </w:rPr>
  </w:style>
  <w:style w:type="paragraph" w:customStyle="1" w:styleId="19">
    <w:name w:val="Body text|1"/>
    <w:basedOn w:val="1"/>
    <w:qFormat/>
    <w:uiPriority w:val="0"/>
    <w:pPr>
      <w:spacing w:after="280" w:line="425" w:lineRule="auto"/>
      <w:ind w:firstLine="400"/>
    </w:pPr>
    <w:rPr>
      <w:rFonts w:ascii="宋体" w:hAnsi="宋体" w:cs="宋体"/>
      <w:sz w:val="30"/>
      <w:szCs w:val="30"/>
      <w:lang w:val="zh-TW" w:eastAsia="zh-TW" w:bidi="zh-TW"/>
    </w:rPr>
  </w:style>
  <w:style w:type="table" w:customStyle="1" w:styleId="20">
    <w:name w:val="Table Normal"/>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Times New Roman" w:hAnsi="Times New Roman" w:eastAsia="Times New Roman" w:cs="Times New Roman"/>
      <w:sz w:val="17"/>
      <w:szCs w:val="1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5829</Words>
  <Characters>5984</Characters>
  <Lines>11</Lines>
  <Paragraphs>3</Paragraphs>
  <TotalTime>28</TotalTime>
  <ScaleCrop>false</ScaleCrop>
  <LinksUpToDate>false</LinksUpToDate>
  <CharactersWithSpaces>6222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2022-07-06T15:46:00Z</dcterms:created>
  <dc:creator>Administrator</dc:creator>
  <cp:lastModifiedBy>文文珊珊</cp:lastModifiedBy>
  <cp:lastPrinted>2024-08-26T10:52:00Z</cp:lastPrinted>
  <dcterms:modified xsi:type="dcterms:W3CDTF">2024-09-06T02:08:55Z</dcterms:modified>
  <dc:title>满洲里市农牧水利局</dc:title>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CE7CE7BB4BF945C7BAA9013E767D487E_13</vt:lpwstr>
  </property>
</Properties>
</file>